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10BD6" w14:textId="77777777" w:rsidR="00492BDA" w:rsidRDefault="00352972">
      <w:pPr>
        <w:keepLines/>
        <w:tabs>
          <w:tab w:val="left" w:pos="567"/>
        </w:tabs>
        <w:snapToGrid w:val="0"/>
        <w:spacing w:after="0"/>
        <w:rPr>
          <w:rFonts w:ascii="Times New Roman" w:eastAsia="MS Mincho" w:hAnsi="Times New Roman"/>
          <w:b/>
          <w:sz w:val="28"/>
          <w:szCs w:val="28"/>
        </w:rPr>
      </w:pPr>
      <w:bookmarkStart w:id="0" w:name="OLE_LINK11"/>
      <w:bookmarkStart w:id="1" w:name="OLE_LINK10"/>
      <w:bookmarkStart w:id="2" w:name="OLE_LINK16"/>
      <w:bookmarkStart w:id="3" w:name="OLE_LINK17"/>
      <w:r>
        <w:rPr>
          <w:rFonts w:ascii="Times New Roman" w:hAnsi="Times New Roman"/>
          <w:b/>
          <w:sz w:val="28"/>
          <w:szCs w:val="28"/>
        </w:rPr>
        <w:t>3GPP TSG RAN Meeting #102</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eastAsia="MS Mincho" w:hAnsi="Times New Roman"/>
          <w:b/>
          <w:sz w:val="28"/>
          <w:szCs w:val="28"/>
        </w:rPr>
        <w:tab/>
      </w:r>
      <w:r>
        <w:rPr>
          <w:rFonts w:ascii="Times New Roman" w:eastAsia="MS Mincho" w:hAnsi="Times New Roman"/>
          <w:b/>
          <w:sz w:val="28"/>
          <w:szCs w:val="28"/>
        </w:rPr>
        <w:tab/>
      </w:r>
      <w:r>
        <w:rPr>
          <w:rFonts w:ascii="Times New Roman" w:eastAsia="MS Mincho" w:hAnsi="Times New Roman"/>
          <w:b/>
          <w:sz w:val="28"/>
          <w:szCs w:val="28"/>
        </w:rPr>
        <w:tab/>
      </w:r>
      <w:r>
        <w:rPr>
          <w:rFonts w:ascii="Times New Roman" w:eastAsia="MS Mincho" w:hAnsi="Times New Roman"/>
          <w:b/>
          <w:sz w:val="28"/>
          <w:szCs w:val="28"/>
        </w:rPr>
        <w:tab/>
      </w:r>
      <w:r>
        <w:rPr>
          <w:rFonts w:ascii="Times New Roman" w:eastAsia="MS Mincho" w:hAnsi="Times New Roman"/>
          <w:b/>
          <w:sz w:val="28"/>
          <w:szCs w:val="28"/>
        </w:rPr>
        <w:tab/>
      </w:r>
      <w:r>
        <w:rPr>
          <w:rFonts w:ascii="Times New Roman" w:hAnsi="Times New Roman" w:hint="eastAsia"/>
          <w:b/>
          <w:sz w:val="28"/>
          <w:szCs w:val="28"/>
        </w:rPr>
        <w:t>RP-232910</w:t>
      </w:r>
    </w:p>
    <w:p w14:paraId="5C4FCAF6" w14:textId="77777777" w:rsidR="00492BDA" w:rsidRDefault="00352972">
      <w:pPr>
        <w:keepLines/>
        <w:tabs>
          <w:tab w:val="left" w:pos="567"/>
        </w:tabs>
        <w:rPr>
          <w:rFonts w:ascii="Times New Roman" w:hAnsi="Times New Roman"/>
          <w:b/>
          <w:sz w:val="28"/>
          <w:szCs w:val="28"/>
        </w:rPr>
      </w:pPr>
      <w:r>
        <w:rPr>
          <w:rFonts w:ascii="Times New Roman" w:hAnsi="Times New Roman"/>
          <w:b/>
          <w:sz w:val="28"/>
          <w:szCs w:val="28"/>
        </w:rPr>
        <w:t>Edinburgh, Scotland, December 11-15, 2023</w:t>
      </w:r>
    </w:p>
    <w:p w14:paraId="76DC2F00" w14:textId="4BE346F1" w:rsidR="00492BDA" w:rsidRDefault="00352972" w:rsidP="00774187">
      <w:pPr>
        <w:tabs>
          <w:tab w:val="left" w:pos="1701"/>
          <w:tab w:val="right" w:pos="9639"/>
        </w:tabs>
        <w:spacing w:after="0"/>
        <w:rPr>
          <w:rFonts w:ascii="Times New Roman" w:hAnsi="Times New Roman"/>
          <w:b/>
          <w:color w:val="000000"/>
          <w:sz w:val="24"/>
        </w:rPr>
      </w:pPr>
      <w:r>
        <w:rPr>
          <w:rFonts w:ascii="Times New Roman" w:hAnsi="Times New Roman"/>
          <w:b/>
          <w:sz w:val="22"/>
          <w:lang w:val="en-US"/>
        </w:rPr>
        <w:tab/>
      </w:r>
      <w:bookmarkEnd w:id="0"/>
      <w:bookmarkEnd w:id="1"/>
      <w:bookmarkEnd w:id="2"/>
      <w:bookmarkEnd w:id="3"/>
    </w:p>
    <w:p w14:paraId="78040304" w14:textId="77777777" w:rsidR="00492BDA" w:rsidRDefault="00352972">
      <w:pPr>
        <w:pStyle w:val="3GPPHeader"/>
        <w:rPr>
          <w:rFonts w:ascii="Times New Roman" w:hAnsi="Times New Roman"/>
          <w:sz w:val="22"/>
          <w:lang w:val="en-US"/>
        </w:rPr>
      </w:pPr>
      <w:r>
        <w:rPr>
          <w:rFonts w:ascii="Times New Roman" w:hAnsi="Times New Roman"/>
          <w:sz w:val="22"/>
        </w:rPr>
        <w:t>Agenda Item:</w:t>
      </w:r>
      <w:r>
        <w:rPr>
          <w:rFonts w:ascii="Times New Roman" w:hAnsi="Times New Roman"/>
          <w:sz w:val="22"/>
        </w:rPr>
        <w:tab/>
      </w:r>
      <w:r>
        <w:rPr>
          <w:rFonts w:ascii="Times New Roman" w:hAnsi="Times New Roman"/>
          <w:sz w:val="22"/>
          <w:lang w:val="en-US"/>
        </w:rPr>
        <w:t>9.1.2.3</w:t>
      </w:r>
    </w:p>
    <w:p w14:paraId="4CF49F92" w14:textId="77777777" w:rsidR="00492BDA" w:rsidRDefault="00352972">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OPPO</w:t>
      </w:r>
    </w:p>
    <w:p w14:paraId="5F9A8C43" w14:textId="77777777" w:rsidR="00492BDA" w:rsidRDefault="00352972">
      <w:pPr>
        <w:pStyle w:val="3GPPHeader"/>
        <w:rPr>
          <w:rFonts w:ascii="Times New Roman" w:hAnsi="Times New Roman"/>
          <w:sz w:val="22"/>
        </w:rPr>
      </w:pPr>
      <w:r>
        <w:rPr>
          <w:rFonts w:ascii="Times New Roman" w:hAnsi="Times New Roman"/>
          <w:sz w:val="22"/>
        </w:rPr>
        <w:t>Title:</w:t>
      </w:r>
      <w:r>
        <w:rPr>
          <w:rFonts w:ascii="Times New Roman" w:hAnsi="Times New Roman"/>
          <w:sz w:val="22"/>
        </w:rPr>
        <w:tab/>
      </w:r>
      <w:r>
        <w:rPr>
          <w:rFonts w:ascii="Times New Roman" w:hAnsi="Times New Roman" w:hint="eastAsia"/>
          <w:sz w:val="22"/>
        </w:rPr>
        <w:t>Discussion on further enhancement for NTN in Rel19</w:t>
      </w:r>
    </w:p>
    <w:p w14:paraId="79BEEA8A" w14:textId="69257845" w:rsidR="00492BDA" w:rsidRDefault="00352972" w:rsidP="00774187">
      <w:pPr>
        <w:pStyle w:val="3GPPHeader"/>
        <w:rPr>
          <w:rFonts w:ascii="Times New Roman" w:hAnsi="Times New Roman"/>
        </w:rPr>
      </w:pPr>
      <w:r>
        <w:rPr>
          <w:rFonts w:ascii="Times New Roman" w:hAnsi="Times New Roman"/>
          <w:sz w:val="22"/>
        </w:rPr>
        <w:t>Document for:</w:t>
      </w:r>
      <w:r>
        <w:rPr>
          <w:rFonts w:ascii="Times New Roman" w:hAnsi="Times New Roman"/>
          <w:sz w:val="22"/>
        </w:rPr>
        <w:tab/>
        <w:t>Discussion, Decision</w:t>
      </w:r>
    </w:p>
    <w:p w14:paraId="2C389FED" w14:textId="77777777" w:rsidR="00492BDA" w:rsidRDefault="00352972">
      <w:pPr>
        <w:pStyle w:val="1"/>
        <w:rPr>
          <w:rFonts w:ascii="Times New Roman" w:hAnsi="Times New Roman"/>
        </w:rPr>
      </w:pPr>
      <w:bookmarkStart w:id="4" w:name="_Ref488331639"/>
      <w:r>
        <w:rPr>
          <w:rFonts w:ascii="Times New Roman" w:hAnsi="Times New Roman"/>
        </w:rPr>
        <w:t>I</w:t>
      </w:r>
      <w:r>
        <w:rPr>
          <w:rFonts w:ascii="Times New Roman" w:hAnsi="Times New Roman"/>
        </w:rPr>
        <w:t>ntroduction</w:t>
      </w:r>
      <w:bookmarkStart w:id="5" w:name="_Ref178064866"/>
      <w:bookmarkEnd w:id="4"/>
    </w:p>
    <w:p w14:paraId="135C213D" w14:textId="77777777" w:rsidR="00492BDA" w:rsidRDefault="00352972">
      <w:pPr>
        <w:rPr>
          <w:rFonts w:ascii="Times New Roman" w:eastAsiaTheme="minorEastAsia" w:hAnsi="Times New Roman"/>
        </w:rPr>
      </w:pPr>
      <w:r>
        <w:rPr>
          <w:rFonts w:ascii="Times New Roman" w:eastAsiaTheme="minorEastAsia" w:hAnsi="Times New Roman"/>
        </w:rPr>
        <w:t xml:space="preserve">This paper will discuss </w:t>
      </w:r>
      <w:r>
        <w:rPr>
          <w:rFonts w:ascii="Times New Roman" w:eastAsiaTheme="minorEastAsia" w:hAnsi="Times New Roman"/>
          <w:lang w:val="en-US"/>
        </w:rPr>
        <w:t>the motivation towards NTN evolution work plan for release 19</w:t>
      </w:r>
      <w:r>
        <w:rPr>
          <w:rFonts w:ascii="Times New Roman" w:eastAsiaTheme="minorEastAsia" w:hAnsi="Times New Roman"/>
        </w:rPr>
        <w:t>.</w:t>
      </w:r>
    </w:p>
    <w:bookmarkEnd w:id="5"/>
    <w:p w14:paraId="5073E857" w14:textId="77777777" w:rsidR="00492BDA" w:rsidRDefault="00352972">
      <w:pPr>
        <w:pStyle w:val="1"/>
        <w:rPr>
          <w:rFonts w:ascii="Times New Roman" w:hAnsi="Times New Roman"/>
          <w:lang w:val="en-US"/>
        </w:rPr>
      </w:pPr>
      <w:r>
        <w:rPr>
          <w:rFonts w:ascii="Times New Roman" w:hAnsi="Times New Roman"/>
        </w:rPr>
        <w:t>Discussion</w:t>
      </w:r>
    </w:p>
    <w:p w14:paraId="09A540E1" w14:textId="77777777" w:rsidR="00492BDA" w:rsidRDefault="00352972">
      <w:pPr>
        <w:pStyle w:val="20"/>
        <w:rPr>
          <w:rFonts w:ascii="Times New Roman" w:hAnsi="Times New Roman"/>
          <w:lang w:val="en-US"/>
        </w:rPr>
      </w:pPr>
      <w:r>
        <w:rPr>
          <w:rFonts w:ascii="Times New Roman" w:hAnsi="Times New Roman"/>
          <w:lang w:val="en-US"/>
        </w:rPr>
        <w:t xml:space="preserve"> NR NTN evolution for Rel-19</w:t>
      </w:r>
      <w:bookmarkStart w:id="6" w:name="_Toc143847083"/>
    </w:p>
    <w:p w14:paraId="23B6A11A" w14:textId="77777777" w:rsidR="00492BDA" w:rsidRDefault="00352972">
      <w:pPr>
        <w:pStyle w:val="30"/>
        <w:rPr>
          <w:rFonts w:ascii="Times New Roman" w:hAnsi="Times New Roman"/>
          <w:lang w:val="en-US"/>
        </w:rPr>
      </w:pPr>
      <w:r>
        <w:rPr>
          <w:rFonts w:ascii="Times New Roman" w:hAnsi="Times New Roman" w:hint="eastAsia"/>
          <w:lang w:val="en-US"/>
        </w:rPr>
        <w:t xml:space="preserve"> </w:t>
      </w:r>
      <w:r>
        <w:rPr>
          <w:rFonts w:ascii="Times New Roman" w:hAnsi="Times New Roman"/>
        </w:rPr>
        <w:t>DL Coverage enhancements</w:t>
      </w:r>
      <w:bookmarkEnd w:id="6"/>
      <w:r>
        <w:rPr>
          <w:rFonts w:ascii="Times New Roman" w:hAnsi="Times New Roman"/>
          <w:lang w:val="en-US"/>
        </w:rPr>
        <w:t xml:space="preserve"> </w:t>
      </w:r>
    </w:p>
    <w:p w14:paraId="304F201D" w14:textId="26F838D7" w:rsidR="00492BDA" w:rsidRDefault="00352972">
      <w:pPr>
        <w:rPr>
          <w:rFonts w:ascii="Times New Roman" w:hAnsi="Times New Roman"/>
          <w:lang w:val="en-US"/>
        </w:rPr>
      </w:pPr>
      <w:r>
        <w:rPr>
          <w:rFonts w:ascii="Times New Roman" w:hAnsi="Times New Roman"/>
          <w:lang w:val="en-US"/>
        </w:rPr>
        <w:t xml:space="preserve">During NR NTN R18 study phase for coverage enhancement, the link level evaluation identified UL coverage as the bottleneck. However, the evaluation assumptions did not take into account DL satellite power split among multiple DL satellite beams. The power </w:t>
      </w:r>
      <w:r>
        <w:rPr>
          <w:rFonts w:ascii="Times New Roman" w:hAnsi="Times New Roman"/>
          <w:lang w:val="en-US"/>
        </w:rPr>
        <w:t>reduction due to beam splitting is tightly related to the dedicated deployment. A satellite supporting more simultaneous active satellite beams can result in larger serving area. But on the contrary, it also leads to more reduction for the transmission pow</w:t>
      </w:r>
      <w:r>
        <w:rPr>
          <w:rFonts w:ascii="Times New Roman" w:hAnsi="Times New Roman"/>
          <w:lang w:val="en-US"/>
        </w:rPr>
        <w:t>er over a single beam, naturally yielding more reduced per-beam SNR. Therefore, when the power split is considered, there is a need also for DL coverage enhancement. To confirm the need, we suggest to conduct a study phase at RAN1 level, by taking into acc</w:t>
      </w:r>
      <w:r>
        <w:rPr>
          <w:rFonts w:ascii="Times New Roman" w:hAnsi="Times New Roman"/>
          <w:lang w:val="en-US"/>
        </w:rPr>
        <w:t xml:space="preserve">ount the DL satellite power split, to investigate the practical deployment scenarios </w:t>
      </w:r>
      <w:r w:rsidR="00774187">
        <w:rPr>
          <w:rFonts w:ascii="Times New Roman" w:hAnsi="Times New Roman"/>
          <w:lang w:val="en-US"/>
        </w:rPr>
        <w:t>and DL</w:t>
      </w:r>
      <w:r>
        <w:rPr>
          <w:rFonts w:ascii="Times New Roman" w:hAnsi="Times New Roman"/>
          <w:lang w:val="en-US"/>
        </w:rPr>
        <w:t xml:space="preserve"> coverage margin as well as the target DL channel/signal for coverage enhancement. </w:t>
      </w:r>
    </w:p>
    <w:p w14:paraId="668FBED1" w14:textId="77777777" w:rsidR="00492BDA" w:rsidRDefault="00352972">
      <w:pPr>
        <w:rPr>
          <w:rFonts w:ascii="Times New Roman" w:hAnsi="Times New Roman"/>
          <w:b/>
          <w:bCs/>
          <w:lang w:val="en-US"/>
        </w:rPr>
      </w:pPr>
      <w:r>
        <w:rPr>
          <w:rFonts w:ascii="Times New Roman" w:hAnsi="Times New Roman"/>
          <w:b/>
          <w:bCs/>
          <w:lang w:val="en-US"/>
        </w:rPr>
        <w:t>Proposal 1: There is a need for conducting a study phase to identify the DL chan</w:t>
      </w:r>
      <w:r>
        <w:rPr>
          <w:rFonts w:ascii="Times New Roman" w:hAnsi="Times New Roman"/>
          <w:b/>
          <w:bCs/>
          <w:lang w:val="en-US"/>
        </w:rPr>
        <w:t xml:space="preserve">nel/signal for potential coverage enhancement, taking into account satellite DL power split among satellite beams. </w:t>
      </w:r>
    </w:p>
    <w:p w14:paraId="3398404D" w14:textId="77777777" w:rsidR="00492BDA" w:rsidRDefault="00352972">
      <w:pPr>
        <w:pStyle w:val="30"/>
        <w:rPr>
          <w:rFonts w:ascii="Times New Roman" w:hAnsi="Times New Roman"/>
          <w:lang w:val="en-US"/>
        </w:rPr>
      </w:pPr>
      <w:bookmarkStart w:id="7" w:name="_Toc143847087"/>
      <w:r>
        <w:rPr>
          <w:rFonts w:ascii="Times New Roman" w:hAnsi="Times New Roman" w:hint="eastAsia"/>
          <w:lang w:val="en-US"/>
        </w:rPr>
        <w:t xml:space="preserve"> </w:t>
      </w:r>
      <w:r>
        <w:rPr>
          <w:rFonts w:ascii="Times New Roman" w:hAnsi="Times New Roman"/>
        </w:rPr>
        <w:t>Dedicated Notification/Alert</w:t>
      </w:r>
      <w:bookmarkEnd w:id="7"/>
      <w:r>
        <w:rPr>
          <w:rFonts w:ascii="Times New Roman" w:hAnsi="Times New Roman"/>
          <w:lang w:val="en-US"/>
        </w:rPr>
        <w:t xml:space="preserve"> </w:t>
      </w:r>
    </w:p>
    <w:p w14:paraId="72E7A4C8" w14:textId="292452B9" w:rsidR="00492BDA" w:rsidRDefault="00352972">
      <w:pPr>
        <w:rPr>
          <w:rFonts w:ascii="Times New Roman" w:hAnsi="Times New Roman"/>
          <w:lang w:val="en-US"/>
        </w:rPr>
      </w:pPr>
      <w:r>
        <w:rPr>
          <w:rFonts w:ascii="Times New Roman" w:hAnsi="Times New Roman"/>
          <w:lang w:val="en-US"/>
        </w:rPr>
        <w:t xml:space="preserve">The motivation for introducing a dedicated notification to a UE is that for incoming service via NTN, </w:t>
      </w:r>
      <w:r w:rsidR="00774187">
        <w:rPr>
          <w:rFonts w:ascii="Times New Roman" w:hAnsi="Times New Roman"/>
          <w:lang w:val="en-US"/>
        </w:rPr>
        <w:t>e.g.,</w:t>
      </w:r>
      <w:r>
        <w:rPr>
          <w:rFonts w:ascii="Times New Roman" w:hAnsi="Times New Roman"/>
          <w:lang w:val="en-US"/>
        </w:rPr>
        <w:t xml:space="preserve"> pa</w:t>
      </w:r>
      <w:r>
        <w:rPr>
          <w:rFonts w:ascii="Times New Roman" w:hAnsi="Times New Roman"/>
          <w:lang w:val="en-US"/>
        </w:rPr>
        <w:t xml:space="preserve">ging message, users may unconsciously be placed in a </w:t>
      </w:r>
      <w:r w:rsidR="00774187">
        <w:rPr>
          <w:rFonts w:ascii="Times New Roman" w:hAnsi="Times New Roman"/>
          <w:lang w:val="en-US"/>
        </w:rPr>
        <w:t>poor reception condition</w:t>
      </w:r>
      <w:r>
        <w:rPr>
          <w:rFonts w:ascii="Times New Roman" w:hAnsi="Times New Roman"/>
          <w:lang w:val="en-US"/>
        </w:rPr>
        <w:t xml:space="preserve"> that experience a deep fading and </w:t>
      </w:r>
      <w:r w:rsidR="00774187">
        <w:rPr>
          <w:rFonts w:ascii="Times New Roman" w:hAnsi="Times New Roman"/>
          <w:lang w:val="en-US"/>
        </w:rPr>
        <w:t>non-light</w:t>
      </w:r>
      <w:r>
        <w:rPr>
          <w:rFonts w:ascii="Times New Roman" w:hAnsi="Times New Roman"/>
          <w:lang w:val="en-US"/>
        </w:rPr>
        <w:t xml:space="preserve"> of sight (NLOS) situation. This may result in a miss of calls/messages. To address this issue, we may consider to introduce a </w:t>
      </w:r>
      <w:proofErr w:type="spellStart"/>
      <w:r>
        <w:rPr>
          <w:rFonts w:ascii="Times New Roman" w:hAnsi="Times New Roman"/>
          <w:lang w:val="en-US"/>
        </w:rPr>
        <w:t>gNB</w:t>
      </w:r>
      <w:proofErr w:type="spellEnd"/>
      <w:r>
        <w:rPr>
          <w:rFonts w:ascii="Times New Roman" w:hAnsi="Times New Roman"/>
          <w:lang w:val="en-US"/>
        </w:rPr>
        <w:t xml:space="preserve"> con</w:t>
      </w:r>
      <w:r>
        <w:rPr>
          <w:rFonts w:ascii="Times New Roman" w:hAnsi="Times New Roman"/>
          <w:lang w:val="en-US"/>
        </w:rPr>
        <w:t xml:space="preserve">trolled notification/Alert to a UE who experience in such circumstance. The work scope may include the design of a dedicated notification/Alert signal, which is expected to be robust even in a deep fading, </w:t>
      </w:r>
      <w:r w:rsidR="00774187">
        <w:rPr>
          <w:rFonts w:ascii="Times New Roman" w:hAnsi="Times New Roman"/>
          <w:lang w:val="en-US"/>
        </w:rPr>
        <w:t>e.g.,</w:t>
      </w:r>
      <w:r>
        <w:rPr>
          <w:rFonts w:ascii="Times New Roman" w:hAnsi="Times New Roman"/>
          <w:lang w:val="en-US"/>
        </w:rPr>
        <w:t xml:space="preserve"> 20 dB more converge robustness compared with </w:t>
      </w:r>
      <w:r>
        <w:rPr>
          <w:rFonts w:ascii="Times New Roman" w:hAnsi="Times New Roman"/>
          <w:lang w:val="en-US"/>
        </w:rPr>
        <w:t xml:space="preserve">the legacy paging message, together with the corresponding mechanisms. This work may involve RAN1 and RAN2 working groups. </w:t>
      </w:r>
    </w:p>
    <w:p w14:paraId="3BA9928E" w14:textId="77777777" w:rsidR="00492BDA" w:rsidRDefault="00352972">
      <w:pPr>
        <w:rPr>
          <w:rFonts w:ascii="Times New Roman" w:hAnsi="Times New Roman"/>
          <w:b/>
          <w:bCs/>
          <w:lang w:val="en-US"/>
        </w:rPr>
      </w:pPr>
      <w:r>
        <w:rPr>
          <w:rFonts w:ascii="Times New Roman" w:hAnsi="Times New Roman"/>
          <w:b/>
          <w:bCs/>
          <w:lang w:val="en-US"/>
        </w:rPr>
        <w:t>Proposal 2: Rel-19 NR NTN may consider a design of dedicated notification/alert signal and the corresponding mechanisms to address t</w:t>
      </w:r>
      <w:r>
        <w:rPr>
          <w:rFonts w:ascii="Times New Roman" w:hAnsi="Times New Roman"/>
          <w:b/>
          <w:bCs/>
          <w:lang w:val="en-US"/>
        </w:rPr>
        <w:t>he problem where UE is unconsciously placed in bad reception condition (</w:t>
      </w:r>
      <w:proofErr w:type="gramStart"/>
      <w:r>
        <w:rPr>
          <w:rFonts w:ascii="Times New Roman" w:hAnsi="Times New Roman"/>
          <w:b/>
          <w:bCs/>
          <w:lang w:val="en-US"/>
        </w:rPr>
        <w:t>e.g.</w:t>
      </w:r>
      <w:proofErr w:type="gramEnd"/>
      <w:r>
        <w:rPr>
          <w:rFonts w:ascii="Times New Roman" w:hAnsi="Times New Roman"/>
          <w:b/>
          <w:bCs/>
          <w:lang w:val="en-US"/>
        </w:rPr>
        <w:t xml:space="preserve"> deep fading).</w:t>
      </w:r>
    </w:p>
    <w:p w14:paraId="73681BD6" w14:textId="77777777" w:rsidR="00492BDA" w:rsidRDefault="00352972">
      <w:pPr>
        <w:pStyle w:val="30"/>
        <w:rPr>
          <w:rFonts w:ascii="Times New Roman" w:hAnsi="Times New Roman"/>
          <w:lang w:val="en-US"/>
        </w:rPr>
      </w:pPr>
      <w:bookmarkStart w:id="8" w:name="_Toc143847089"/>
      <w:r>
        <w:rPr>
          <w:rFonts w:ascii="Times New Roman" w:hAnsi="Times New Roman"/>
        </w:rPr>
        <w:t>Discontinuous coverage for NR</w:t>
      </w:r>
      <w:bookmarkEnd w:id="8"/>
    </w:p>
    <w:p w14:paraId="7C00E12A" w14:textId="77777777" w:rsidR="00492BDA" w:rsidRDefault="00352972">
      <w:pPr>
        <w:rPr>
          <w:rFonts w:ascii="Times New Roman" w:hAnsi="Times New Roman"/>
          <w:lang w:val="en-US"/>
        </w:rPr>
      </w:pPr>
      <w:r>
        <w:rPr>
          <w:rFonts w:ascii="Times New Roman" w:hAnsi="Times New Roman"/>
          <w:lang w:val="en-US"/>
        </w:rPr>
        <w:t>In Rel-17 and Rel-18 NR NTN, we assume continuous NTN coverage for IDLE/INACTIVE and CONNECTED state mobility procedures. However, this</w:t>
      </w:r>
      <w:r>
        <w:rPr>
          <w:rFonts w:ascii="Times New Roman" w:hAnsi="Times New Roman"/>
          <w:lang w:val="en-US"/>
        </w:rPr>
        <w:t xml:space="preserve"> assumption may not always be true. For example, in early commercial deployment, there could be some coverage holes due to a large number of satellites not being launched. Even a full constellation can be deployment at some late stage, there still could be</w:t>
      </w:r>
      <w:r>
        <w:rPr>
          <w:rFonts w:ascii="Times New Roman" w:hAnsi="Times New Roman"/>
          <w:lang w:val="en-US"/>
        </w:rPr>
        <w:t xml:space="preserve"> cases where some satellites suffer from failure or problems. In this case, we need to deal with discontinuous coverage for NR as well to save UE’s power during coverage holes. When it comes to solutions, Rel-17/Rel-18 IoT NTN solutions can be taken as bas</w:t>
      </w:r>
      <w:r>
        <w:rPr>
          <w:rFonts w:ascii="Times New Roman" w:hAnsi="Times New Roman"/>
          <w:lang w:val="en-US"/>
        </w:rPr>
        <w:t>eline.</w:t>
      </w:r>
    </w:p>
    <w:p w14:paraId="48CB1559" w14:textId="77777777" w:rsidR="00492BDA" w:rsidRDefault="00352972">
      <w:pPr>
        <w:rPr>
          <w:rFonts w:ascii="Times New Roman" w:hAnsi="Times New Roman"/>
          <w:b/>
          <w:bCs/>
          <w:lang w:val="en-US"/>
        </w:rPr>
      </w:pPr>
      <w:r>
        <w:rPr>
          <w:rFonts w:ascii="Times New Roman" w:hAnsi="Times New Roman"/>
          <w:b/>
          <w:bCs/>
          <w:lang w:val="en-US"/>
        </w:rPr>
        <w:t>Proposal 3: Rel-19 NR NTN should support enhancements for discontinuous coverage. IoT NTN solutions can be taken as baseline.</w:t>
      </w:r>
    </w:p>
    <w:p w14:paraId="31FED25F" w14:textId="77777777" w:rsidR="00492BDA" w:rsidRDefault="00492BDA">
      <w:pPr>
        <w:rPr>
          <w:rFonts w:ascii="Times New Roman" w:hAnsi="Times New Roman"/>
          <w:lang w:val="en-US"/>
        </w:rPr>
      </w:pPr>
    </w:p>
    <w:p w14:paraId="17D95497" w14:textId="77777777" w:rsidR="00492BDA" w:rsidRDefault="00352972">
      <w:pPr>
        <w:pStyle w:val="30"/>
        <w:rPr>
          <w:rFonts w:ascii="Times New Roman" w:hAnsi="Times New Roman"/>
          <w:lang w:val="en-US"/>
        </w:rPr>
      </w:pPr>
      <w:bookmarkStart w:id="9" w:name="_Toc143847091"/>
      <w:r>
        <w:rPr>
          <w:rFonts w:ascii="Times New Roman" w:hAnsi="Times New Roman" w:hint="eastAsia"/>
          <w:lang w:val="en-US"/>
        </w:rPr>
        <w:lastRenderedPageBreak/>
        <w:t xml:space="preserve"> </w:t>
      </w:r>
      <w:r>
        <w:rPr>
          <w:rFonts w:ascii="Times New Roman" w:hAnsi="Times New Roman"/>
        </w:rPr>
        <w:t>NTN/TN Mobility enhancement in connected mode for NR</w:t>
      </w:r>
      <w:bookmarkEnd w:id="9"/>
    </w:p>
    <w:p w14:paraId="078EE2AD" w14:textId="77777777" w:rsidR="00492BDA" w:rsidRDefault="00352972">
      <w:pPr>
        <w:rPr>
          <w:rFonts w:ascii="Times New Roman" w:hAnsi="Times New Roman"/>
          <w:lang w:val="en-US"/>
        </w:rPr>
      </w:pPr>
      <w:r>
        <w:rPr>
          <w:rFonts w:ascii="Times New Roman" w:hAnsi="Times New Roman"/>
          <w:lang w:val="en-US"/>
        </w:rPr>
        <w:t xml:space="preserve">In Rel-18 NR NTN, some handover enhancements are specified to cater for some specific NTN scenarios, like RACH-less HO and </w:t>
      </w:r>
      <w:r>
        <w:rPr>
          <w:rFonts w:ascii="Times New Roman" w:hAnsi="Times New Roman" w:hint="eastAsia"/>
          <w:lang w:val="en-US"/>
        </w:rPr>
        <w:t>soft</w:t>
      </w:r>
      <w:r>
        <w:rPr>
          <w:rFonts w:ascii="Times New Roman" w:hAnsi="Times New Roman"/>
          <w:lang w:val="en-US"/>
        </w:rPr>
        <w:t xml:space="preserve">/hard satellite switch with unchanged PCI. However, the signaling overhead issue related to legacy handover command is still not </w:t>
      </w:r>
      <w:r>
        <w:rPr>
          <w:rFonts w:ascii="Times New Roman" w:hAnsi="Times New Roman"/>
          <w:lang w:val="en-US"/>
        </w:rPr>
        <w:t xml:space="preserve">well addressed and this includes the common signaling solution discussed in Rel-18. As it has not been supported in Rel-18, </w:t>
      </w:r>
      <w:r>
        <w:rPr>
          <w:rFonts w:ascii="Times New Roman" w:hAnsi="Times New Roman" w:hint="eastAsia"/>
          <w:lang w:val="en-US"/>
        </w:rPr>
        <w:t xml:space="preserve">the signaling overhead reduction </w:t>
      </w:r>
      <w:r>
        <w:rPr>
          <w:rFonts w:ascii="Times New Roman" w:hAnsi="Times New Roman"/>
          <w:lang w:val="en-US"/>
        </w:rPr>
        <w:t>should be considered in Rel-19</w:t>
      </w:r>
      <w:r>
        <w:rPr>
          <w:rFonts w:ascii="Times New Roman" w:hAnsi="Times New Roman" w:hint="eastAsia"/>
          <w:lang w:val="en-US"/>
        </w:rPr>
        <w:t>, such as broadcasting common configuration for (C)HO in SIB</w:t>
      </w:r>
      <w:r>
        <w:rPr>
          <w:rFonts w:ascii="Times New Roman" w:hAnsi="Times New Roman"/>
          <w:lang w:val="en-US"/>
        </w:rPr>
        <w:t>. Another</w:t>
      </w:r>
      <w:r>
        <w:rPr>
          <w:rFonts w:ascii="Times New Roman" w:hAnsi="Times New Roman"/>
          <w:lang w:val="en-US"/>
        </w:rPr>
        <w:t xml:space="preserve"> direction is NTN to TN handover, for which there is no specific discussion and enhancements in Rel-18.</w:t>
      </w:r>
    </w:p>
    <w:p w14:paraId="0F9AB4B5" w14:textId="2AC3026C" w:rsidR="00492BDA" w:rsidRDefault="00352972">
      <w:pPr>
        <w:rPr>
          <w:rFonts w:ascii="Times New Roman" w:hAnsi="Times New Roman"/>
          <w:b/>
          <w:bCs/>
          <w:lang w:val="en-US"/>
        </w:rPr>
      </w:pPr>
      <w:r>
        <w:rPr>
          <w:rFonts w:ascii="Times New Roman" w:hAnsi="Times New Roman"/>
          <w:b/>
          <w:bCs/>
          <w:lang w:val="en-US"/>
        </w:rPr>
        <w:t xml:space="preserve">Proposal 4: Rel-19 NR NTN should </w:t>
      </w:r>
      <w:r>
        <w:rPr>
          <w:rFonts w:ascii="Times New Roman" w:hAnsi="Times New Roman" w:hint="eastAsia"/>
          <w:b/>
          <w:bCs/>
          <w:lang w:val="en-US"/>
        </w:rPr>
        <w:t xml:space="preserve">address the signaling reduction for (C)HO, e.g. Using common configuration </w:t>
      </w:r>
      <w:r w:rsidR="00041CBA">
        <w:rPr>
          <w:rFonts w:ascii="Times New Roman" w:hAnsi="Times New Roman"/>
          <w:b/>
          <w:bCs/>
          <w:lang w:val="en-US"/>
        </w:rPr>
        <w:t>for NTN</w:t>
      </w:r>
      <w:r>
        <w:rPr>
          <w:rFonts w:ascii="Times New Roman" w:hAnsi="Times New Roman"/>
          <w:b/>
          <w:bCs/>
          <w:lang w:val="en-US"/>
        </w:rPr>
        <w:t>-NTN and NTN-TN mobility enhancement</w:t>
      </w:r>
      <w:r>
        <w:rPr>
          <w:rFonts w:ascii="Times New Roman" w:hAnsi="Times New Roman"/>
          <w:b/>
          <w:bCs/>
          <w:lang w:val="en-US"/>
        </w:rPr>
        <w:t>s in connected mode.</w:t>
      </w:r>
    </w:p>
    <w:p w14:paraId="3D133D86" w14:textId="77777777" w:rsidR="00492BDA" w:rsidRDefault="00352972">
      <w:pPr>
        <w:pStyle w:val="30"/>
        <w:rPr>
          <w:rFonts w:ascii="Times New Roman" w:hAnsi="Times New Roman"/>
          <w:lang w:val="en-US"/>
        </w:rPr>
      </w:pPr>
      <w:r>
        <w:rPr>
          <w:rFonts w:ascii="Times New Roman" w:hAnsi="Times New Roman" w:hint="eastAsia"/>
          <w:lang w:val="en-US"/>
        </w:rPr>
        <w:t xml:space="preserve"> </w:t>
      </w:r>
      <w:r>
        <w:rPr>
          <w:rFonts w:ascii="Times New Roman" w:hAnsi="Times New Roman"/>
        </w:rPr>
        <w:t>Support of higher Tx power NR-NTN capable UE</w:t>
      </w:r>
      <w:r>
        <w:rPr>
          <w:rFonts w:ascii="Times New Roman" w:hAnsi="Times New Roman"/>
          <w:lang w:val="en-US"/>
        </w:rPr>
        <w:t xml:space="preserve"> </w:t>
      </w:r>
    </w:p>
    <w:p w14:paraId="262C193E" w14:textId="77777777" w:rsidR="00492BDA" w:rsidRDefault="00352972">
      <w:pPr>
        <w:rPr>
          <w:rFonts w:ascii="Times New Roman" w:hAnsi="Times New Roman"/>
          <w:lang w:val="en-US"/>
        </w:rPr>
      </w:pPr>
      <w:r>
        <w:rPr>
          <w:rFonts w:ascii="Times New Roman" w:hAnsi="Times New Roman"/>
          <w:lang w:val="en-US"/>
        </w:rPr>
        <w:t xml:space="preserve">Increasing the transmit power of UE has significant benefits on uplink coverage. In Rel-18 several work items related to HPUE have been agreed for both TDD bands and FDD </w:t>
      </w:r>
      <w:proofErr w:type="spellStart"/>
      <w:r>
        <w:rPr>
          <w:rFonts w:ascii="Times New Roman" w:hAnsi="Times New Roman"/>
          <w:lang w:val="en-US"/>
        </w:rPr>
        <w:t>bands</w:t>
      </w:r>
      <w:proofErr w:type="spellEnd"/>
      <w:r>
        <w:rPr>
          <w:rFonts w:ascii="Times New Roman" w:hAnsi="Times New Roman"/>
          <w:lang w:val="en-US"/>
        </w:rPr>
        <w:t xml:space="preserve"> including DC</w:t>
      </w:r>
      <w:r>
        <w:rPr>
          <w:rFonts w:ascii="Times New Roman" w:hAnsi="Times New Roman"/>
          <w:lang w:val="en-US"/>
        </w:rPr>
        <w:t>, NR CA and single band scenarios. Specifically, there are already NR FDD band n1 and n3 under PC2 operation defined in Rel-17. For Rel-18, a WID for introducing UE for FR1 for FDD single band with PC2 is on-going to accommodate operator request on the sin</w:t>
      </w:r>
      <w:r>
        <w:rPr>
          <w:rFonts w:ascii="Times New Roman" w:hAnsi="Times New Roman"/>
          <w:lang w:val="en-US"/>
        </w:rPr>
        <w:t xml:space="preserve">gle band PC2(26dBm) and currently there are more than 13 bands are completed/ongoing. </w:t>
      </w:r>
    </w:p>
    <w:p w14:paraId="04D13805" w14:textId="77777777" w:rsidR="00492BDA" w:rsidRDefault="00352972">
      <w:pPr>
        <w:rPr>
          <w:rFonts w:ascii="Times New Roman" w:hAnsi="Times New Roman"/>
          <w:lang w:val="en-US"/>
        </w:rPr>
      </w:pPr>
      <w:r>
        <w:rPr>
          <w:rFonts w:ascii="Times New Roman" w:hAnsi="Times New Roman"/>
          <w:lang w:val="en-US"/>
        </w:rPr>
        <w:t>From Rel-17 NTN has specified the PC3(23dBm) for handheld UE. Corresponding RF requirements especially the A-MPR and REFSENS have been fully discussed. To further improv</w:t>
      </w:r>
      <w:r>
        <w:rPr>
          <w:rFonts w:ascii="Times New Roman" w:hAnsi="Times New Roman"/>
          <w:lang w:val="en-US"/>
        </w:rPr>
        <w:t>e the uplink coverage, it is straight forward to introduce higher TX power for NTN UE for satellite access. Currently there is band n256, n255 well defined since Rel-17 and n254 under progress in Rel-18. These three bands can be the baseline to introduce t</w:t>
      </w:r>
      <w:r>
        <w:rPr>
          <w:rFonts w:ascii="Times New Roman" w:hAnsi="Times New Roman"/>
          <w:lang w:val="en-US"/>
        </w:rPr>
        <w:t>he PC2.</w:t>
      </w:r>
    </w:p>
    <w:p w14:paraId="695EB8C8" w14:textId="77777777" w:rsidR="00492BDA" w:rsidRDefault="00352972">
      <w:pPr>
        <w:rPr>
          <w:rFonts w:ascii="Times New Roman" w:hAnsi="Times New Roman"/>
          <w:b/>
          <w:lang w:val="en-US"/>
        </w:rPr>
      </w:pPr>
      <w:r>
        <w:rPr>
          <w:rFonts w:ascii="Times New Roman" w:hAnsi="Times New Roman"/>
          <w:b/>
          <w:lang w:val="en-US"/>
        </w:rPr>
        <w:t>Proposal 5: In Rel-19 NR NTN, introduce band n256, n255, n254 to support PC2 (+26dBm) for hand-held UE.</w:t>
      </w:r>
    </w:p>
    <w:p w14:paraId="71E3CDDC" w14:textId="77777777" w:rsidR="00492BDA" w:rsidRDefault="00352972">
      <w:pPr>
        <w:pStyle w:val="20"/>
        <w:rPr>
          <w:rFonts w:ascii="Times New Roman" w:hAnsi="Times New Roman"/>
          <w:lang w:val="en-US"/>
        </w:rPr>
      </w:pPr>
      <w:r>
        <w:rPr>
          <w:rFonts w:ascii="Times New Roman" w:hAnsi="Times New Roman" w:hint="eastAsia"/>
          <w:lang w:val="en-US"/>
        </w:rPr>
        <w:t xml:space="preserve"> </w:t>
      </w:r>
      <w:r>
        <w:rPr>
          <w:rFonts w:ascii="Times New Roman" w:hAnsi="Times New Roman"/>
          <w:lang w:val="en-US"/>
        </w:rPr>
        <w:t>IoT NTN evolution for Rel-19</w:t>
      </w:r>
    </w:p>
    <w:p w14:paraId="4B5D5EC4" w14:textId="77777777" w:rsidR="00492BDA" w:rsidRDefault="00352972">
      <w:pPr>
        <w:pStyle w:val="30"/>
        <w:rPr>
          <w:rFonts w:ascii="Times New Roman" w:hAnsi="Times New Roman"/>
          <w:lang w:val="en-US"/>
        </w:rPr>
      </w:pPr>
      <w:bookmarkStart w:id="10" w:name="_Toc143847093"/>
      <w:r>
        <w:rPr>
          <w:rFonts w:ascii="Times New Roman" w:hAnsi="Times New Roman"/>
        </w:rPr>
        <w:t>Support of S&amp;F Satellite operation</w:t>
      </w:r>
      <w:bookmarkEnd w:id="10"/>
    </w:p>
    <w:p w14:paraId="58096A21" w14:textId="29D4846C" w:rsidR="00492BDA" w:rsidRDefault="00352972">
      <w:pPr>
        <w:rPr>
          <w:rFonts w:ascii="Times New Roman" w:hAnsi="Times New Roman"/>
          <w:lang w:val="en-US"/>
        </w:rPr>
      </w:pPr>
      <w:r>
        <w:rPr>
          <w:rFonts w:ascii="Times New Roman" w:hAnsi="Times New Roman"/>
          <w:lang w:val="en-US"/>
        </w:rPr>
        <w:t>The S&amp;F satellite operation has been widely discussed in Rel-19 SA1, which is i</w:t>
      </w:r>
      <w:r>
        <w:rPr>
          <w:rFonts w:ascii="Times New Roman" w:hAnsi="Times New Roman"/>
          <w:lang w:val="en-US"/>
        </w:rPr>
        <w:t>ntended to provide delivery of service for UEs under satellite coverage with intermittent/temporary satellite connectivity. The support of S&amp;F satellite operation is especially suited for delay-tolerant/non-real-time IoT satellite services with NGSO satell</w:t>
      </w:r>
      <w:r>
        <w:rPr>
          <w:rFonts w:ascii="Times New Roman" w:hAnsi="Times New Roman"/>
          <w:lang w:val="en-US"/>
        </w:rPr>
        <w:t>ites</w:t>
      </w:r>
      <w:r>
        <w:rPr>
          <w:rFonts w:ascii="Times New Roman" w:hAnsi="Times New Roman" w:hint="eastAsia"/>
          <w:lang w:val="en-US"/>
        </w:rPr>
        <w:t>, where regenerative payload is required</w:t>
      </w:r>
      <w:r>
        <w:rPr>
          <w:rFonts w:ascii="Times New Roman" w:hAnsi="Times New Roman"/>
          <w:lang w:val="en-US"/>
        </w:rPr>
        <w:t>. It would allow for extending satellite service coverage in areas where satellites cannot be connected to ground stations (</w:t>
      </w:r>
      <w:r w:rsidR="00041CBA">
        <w:rPr>
          <w:rFonts w:ascii="Times New Roman" w:hAnsi="Times New Roman"/>
          <w:lang w:val="en-US"/>
        </w:rPr>
        <w:t>e.g.,</w:t>
      </w:r>
      <w:r>
        <w:rPr>
          <w:rFonts w:ascii="Times New Roman" w:hAnsi="Times New Roman"/>
          <w:lang w:val="en-US"/>
        </w:rPr>
        <w:t xml:space="preserve"> maritime or very remote areas with lack of ground-stations infrastructures), as wel</w:t>
      </w:r>
      <w:r>
        <w:rPr>
          <w:rFonts w:ascii="Times New Roman" w:hAnsi="Times New Roman"/>
          <w:lang w:val="en-US"/>
        </w:rPr>
        <w:t>l as facilitating cost-effective deployment. To support this feature, RAN shall be able to inform UE(s) that S&amp;F satellite operation is applied. Regarding signaling and data transmission procedure, we could consider EDT as baseline, and specify necessary e</w:t>
      </w:r>
      <w:r>
        <w:rPr>
          <w:rFonts w:ascii="Times New Roman" w:hAnsi="Times New Roman"/>
          <w:lang w:val="en-US"/>
        </w:rPr>
        <w:t>nhancements under S&amp;F operation mode.</w:t>
      </w:r>
    </w:p>
    <w:p w14:paraId="7C396786" w14:textId="77777777" w:rsidR="00492BDA" w:rsidRDefault="00352972">
      <w:pPr>
        <w:rPr>
          <w:rFonts w:ascii="Times New Roman" w:hAnsi="Times New Roman"/>
          <w:b/>
          <w:bCs/>
          <w:lang w:val="en-US"/>
        </w:rPr>
      </w:pPr>
      <w:r>
        <w:rPr>
          <w:rFonts w:ascii="Times New Roman" w:hAnsi="Times New Roman"/>
          <w:b/>
          <w:bCs/>
          <w:lang w:val="en-US"/>
        </w:rPr>
        <w:t xml:space="preserve">Proposal </w:t>
      </w:r>
      <w:r>
        <w:rPr>
          <w:rFonts w:ascii="Times New Roman" w:hAnsi="Times New Roman" w:hint="eastAsia"/>
          <w:b/>
          <w:bCs/>
          <w:lang w:val="en-US"/>
        </w:rPr>
        <w:t>6</w:t>
      </w:r>
      <w:r>
        <w:rPr>
          <w:rFonts w:ascii="Times New Roman" w:hAnsi="Times New Roman"/>
          <w:b/>
          <w:bCs/>
          <w:lang w:val="en-US"/>
        </w:rPr>
        <w:t xml:space="preserve">: RAN study and specify necessary enhancements to support S&amp;F Satellite </w:t>
      </w:r>
      <w:proofErr w:type="gramStart"/>
      <w:r>
        <w:rPr>
          <w:rFonts w:ascii="Times New Roman" w:hAnsi="Times New Roman"/>
          <w:b/>
          <w:bCs/>
          <w:lang w:val="en-US"/>
        </w:rPr>
        <w:t>operation  in</w:t>
      </w:r>
      <w:proofErr w:type="gramEnd"/>
      <w:r>
        <w:rPr>
          <w:rFonts w:ascii="Times New Roman" w:hAnsi="Times New Roman"/>
          <w:b/>
          <w:bCs/>
          <w:lang w:val="en-US"/>
        </w:rPr>
        <w:t xml:space="preserve"> Rel-19 IoT NTN.</w:t>
      </w:r>
    </w:p>
    <w:p w14:paraId="41458354" w14:textId="77777777" w:rsidR="00492BDA" w:rsidRDefault="00352972">
      <w:pPr>
        <w:pStyle w:val="30"/>
        <w:rPr>
          <w:rFonts w:ascii="Times New Roman" w:hAnsi="Times New Roman"/>
        </w:rPr>
      </w:pPr>
      <w:r>
        <w:rPr>
          <w:rFonts w:ascii="Times New Roman" w:hAnsi="Times New Roman" w:hint="eastAsia"/>
          <w:lang w:val="en-US"/>
        </w:rPr>
        <w:t xml:space="preserve"> </w:t>
      </w:r>
      <w:r>
        <w:rPr>
          <w:rFonts w:ascii="Times New Roman" w:hAnsi="Times New Roman"/>
        </w:rPr>
        <w:t>Support of higher Tx power IoT-NTN capable UE</w:t>
      </w:r>
      <w:r>
        <w:rPr>
          <w:rFonts w:ascii="Times New Roman" w:hAnsi="Times New Roman"/>
          <w:lang w:val="en-US"/>
        </w:rPr>
        <w:t xml:space="preserve"> </w:t>
      </w:r>
    </w:p>
    <w:p w14:paraId="22CC0CE7" w14:textId="77777777" w:rsidR="00492BDA" w:rsidRDefault="00352972">
      <w:pPr>
        <w:rPr>
          <w:rFonts w:ascii="Times New Roman" w:hAnsi="Times New Roman"/>
          <w:lang w:val="en-US"/>
        </w:rPr>
      </w:pPr>
      <w:r>
        <w:rPr>
          <w:rFonts w:ascii="Times New Roman" w:hAnsi="Times New Roman"/>
          <w:lang w:val="en-US"/>
        </w:rPr>
        <w:t xml:space="preserve">There are three on-going IOT-NTN WIDs including the </w:t>
      </w:r>
      <w:proofErr w:type="spellStart"/>
      <w:r>
        <w:rPr>
          <w:rFonts w:ascii="Times New Roman" w:hAnsi="Times New Roman"/>
          <w:lang w:val="en-US"/>
        </w:rPr>
        <w:t>LTE_NBeMTC</w:t>
      </w:r>
      <w:proofErr w:type="spellEnd"/>
      <w:r>
        <w:rPr>
          <w:rFonts w:ascii="Times New Roman" w:hAnsi="Times New Roman"/>
          <w:lang w:val="en-US"/>
        </w:rPr>
        <w:t xml:space="preserve"> NTN, IoT-NTN L+S band and IoT-NTN extend L-band in RAN4. It can be observed that the importance of introducing IoT NTN while currently only PC3(23dBm) and PC5(20dBm) supported. Bands 254 and 253 have been introduced.</w:t>
      </w:r>
    </w:p>
    <w:p w14:paraId="0917B62A" w14:textId="77777777" w:rsidR="00492BDA" w:rsidRDefault="00352972">
      <w:pPr>
        <w:rPr>
          <w:rFonts w:ascii="Times New Roman" w:hAnsi="Times New Roman"/>
          <w:lang w:val="en-US"/>
        </w:rPr>
      </w:pPr>
      <w:r>
        <w:rPr>
          <w:rFonts w:ascii="Times New Roman" w:hAnsi="Times New Roman"/>
          <w:lang w:val="en-US"/>
        </w:rPr>
        <w:t>Initially it is assumed that</w:t>
      </w:r>
      <w:r>
        <w:rPr>
          <w:rFonts w:ascii="Times New Roman" w:hAnsi="Times New Roman"/>
          <w:lang w:val="en-US"/>
        </w:rPr>
        <w:t xml:space="preserve"> IoT equipment uses lower power class for energy consumption consideration. However, even similar consideration applies to Redcap UE, it is currently the RAN Task to RAN4 to consider the PC2 Redcap UE. It has been concluded in RAN4 that sensor and camera a</w:t>
      </w:r>
      <w:r>
        <w:rPr>
          <w:rFonts w:ascii="Times New Roman" w:hAnsi="Times New Roman"/>
          <w:lang w:val="en-US"/>
        </w:rPr>
        <w:t xml:space="preserve">re appropriate to support Redcap PC2 and wearable are not precluded. In such case, to support IoT-NTN with higher Tx power is quite reasonable. </w:t>
      </w:r>
    </w:p>
    <w:p w14:paraId="31F8A762" w14:textId="58E8F14F" w:rsidR="00492BDA" w:rsidRDefault="00352972">
      <w:pPr>
        <w:rPr>
          <w:rFonts w:ascii="Times New Roman" w:hAnsi="Times New Roman"/>
          <w:lang w:val="en-US"/>
        </w:rPr>
      </w:pPr>
      <w:r>
        <w:rPr>
          <w:rFonts w:ascii="Times New Roman" w:hAnsi="Times New Roman"/>
          <w:b/>
          <w:lang w:val="en-US"/>
        </w:rPr>
        <w:t xml:space="preserve">Proposal </w:t>
      </w:r>
      <w:r>
        <w:rPr>
          <w:rFonts w:ascii="Times New Roman" w:hAnsi="Times New Roman" w:hint="eastAsia"/>
          <w:b/>
          <w:lang w:val="en-US"/>
        </w:rPr>
        <w:t>7</w:t>
      </w:r>
      <w:r>
        <w:rPr>
          <w:rFonts w:ascii="Times New Roman" w:hAnsi="Times New Roman"/>
          <w:b/>
          <w:lang w:val="en-US"/>
        </w:rPr>
        <w:t>: In Rel-19 IoT NTN, introduce band 254 and 253 to support PC2 (+26dBm) for hand-held UE.</w:t>
      </w:r>
    </w:p>
    <w:p w14:paraId="2B3A2E73" w14:textId="77777777" w:rsidR="00492BDA" w:rsidRDefault="00352972">
      <w:pPr>
        <w:pStyle w:val="1"/>
        <w:rPr>
          <w:rFonts w:ascii="Times New Roman" w:hAnsi="Times New Roman"/>
        </w:rPr>
      </w:pPr>
      <w:bookmarkStart w:id="11" w:name="_Toc109213964"/>
      <w:bookmarkEnd w:id="11"/>
      <w:r>
        <w:rPr>
          <w:rFonts w:ascii="Times New Roman" w:hAnsi="Times New Roman"/>
        </w:rPr>
        <w:t>Conclusion</w:t>
      </w:r>
    </w:p>
    <w:p w14:paraId="7214AF11" w14:textId="77777777" w:rsidR="00492BDA" w:rsidRDefault="00352972">
      <w:pPr>
        <w:rPr>
          <w:rFonts w:ascii="Times New Roman" w:hAnsi="Times New Roman"/>
        </w:rPr>
      </w:pPr>
      <w:r>
        <w:rPr>
          <w:rFonts w:ascii="Times New Roman" w:hAnsi="Times New Roman"/>
        </w:rPr>
        <w:t xml:space="preserve">We have the following </w:t>
      </w:r>
      <w:r>
        <w:rPr>
          <w:rFonts w:ascii="Times New Roman" w:hAnsi="Times New Roman"/>
          <w:lang w:val="en-US"/>
        </w:rPr>
        <w:t>proposal</w:t>
      </w:r>
      <w:r>
        <w:rPr>
          <w:rFonts w:ascii="Times New Roman" w:hAnsi="Times New Roman"/>
        </w:rPr>
        <w:t>s:</w:t>
      </w:r>
    </w:p>
    <w:p w14:paraId="1E8D0F59" w14:textId="77777777" w:rsidR="00492BDA" w:rsidRDefault="00352972">
      <w:pPr>
        <w:rPr>
          <w:rFonts w:ascii="Times New Roman" w:hAnsi="Times New Roman"/>
          <w:b/>
          <w:bCs/>
          <w:lang w:val="en-US"/>
        </w:rPr>
      </w:pPr>
      <w:r>
        <w:rPr>
          <w:rFonts w:ascii="Times New Roman" w:hAnsi="Times New Roman"/>
          <w:b/>
          <w:bCs/>
          <w:lang w:val="en-US"/>
        </w:rPr>
        <w:t xml:space="preserve">Proposal 1: There is a need for conducting a study phase to identify the DL channel/signal for potential coverage enhancement, taking into account satellite DL power split among satellite beams. </w:t>
      </w:r>
    </w:p>
    <w:p w14:paraId="249279AA" w14:textId="77777777" w:rsidR="00492BDA" w:rsidRDefault="00352972">
      <w:pPr>
        <w:rPr>
          <w:rFonts w:ascii="Times New Roman" w:hAnsi="Times New Roman"/>
          <w:b/>
          <w:bCs/>
          <w:lang w:val="en-US"/>
        </w:rPr>
      </w:pPr>
      <w:r>
        <w:rPr>
          <w:rFonts w:ascii="Times New Roman" w:hAnsi="Times New Roman"/>
          <w:b/>
          <w:bCs/>
          <w:lang w:val="en-US"/>
        </w:rPr>
        <w:t xml:space="preserve">Proposal 2: Rel-19 NR NTN </w:t>
      </w:r>
      <w:r>
        <w:rPr>
          <w:rFonts w:ascii="Times New Roman" w:hAnsi="Times New Roman"/>
          <w:b/>
          <w:bCs/>
          <w:lang w:val="en-US"/>
        </w:rPr>
        <w:t>may consider a design of dedicated notification/alert signal and the corresponding mechanisms to address the problem where UE is unconsciously placed in bad reception condition (</w:t>
      </w:r>
      <w:proofErr w:type="gramStart"/>
      <w:r>
        <w:rPr>
          <w:rFonts w:ascii="Times New Roman" w:hAnsi="Times New Roman"/>
          <w:b/>
          <w:bCs/>
          <w:lang w:val="en-US"/>
        </w:rPr>
        <w:t>e.g.</w:t>
      </w:r>
      <w:proofErr w:type="gramEnd"/>
      <w:r>
        <w:rPr>
          <w:rFonts w:ascii="Times New Roman" w:hAnsi="Times New Roman"/>
          <w:b/>
          <w:bCs/>
          <w:lang w:val="en-US"/>
        </w:rPr>
        <w:t xml:space="preserve"> deep fading).</w:t>
      </w:r>
    </w:p>
    <w:p w14:paraId="2252284E" w14:textId="77777777" w:rsidR="00492BDA" w:rsidRDefault="00352972">
      <w:pPr>
        <w:rPr>
          <w:rFonts w:ascii="Times New Roman" w:hAnsi="Times New Roman"/>
          <w:b/>
          <w:bCs/>
          <w:lang w:val="en-US"/>
        </w:rPr>
      </w:pPr>
      <w:r>
        <w:rPr>
          <w:rFonts w:ascii="Times New Roman" w:hAnsi="Times New Roman"/>
          <w:b/>
          <w:bCs/>
          <w:lang w:val="en-US"/>
        </w:rPr>
        <w:lastRenderedPageBreak/>
        <w:t>Proposal 3: Rel-19 NR NTN should support enhancements for d</w:t>
      </w:r>
      <w:r>
        <w:rPr>
          <w:rFonts w:ascii="Times New Roman" w:hAnsi="Times New Roman"/>
          <w:b/>
          <w:bCs/>
          <w:lang w:val="en-US"/>
        </w:rPr>
        <w:t>iscontinuous coverage. IoT NTN solutions can be taken as baseline.</w:t>
      </w:r>
    </w:p>
    <w:p w14:paraId="44E0FEFE" w14:textId="0D4CD524" w:rsidR="00492BDA" w:rsidRDefault="00352972">
      <w:pPr>
        <w:rPr>
          <w:rFonts w:ascii="Times New Roman" w:hAnsi="Times New Roman"/>
          <w:b/>
          <w:bCs/>
          <w:lang w:val="en-US"/>
        </w:rPr>
      </w:pPr>
      <w:r>
        <w:rPr>
          <w:rFonts w:ascii="Times New Roman" w:hAnsi="Times New Roman"/>
          <w:b/>
          <w:bCs/>
          <w:lang w:val="en-US"/>
        </w:rPr>
        <w:t xml:space="preserve">Proposal 4: Rel-19 NR NTN should </w:t>
      </w:r>
      <w:r>
        <w:rPr>
          <w:rFonts w:ascii="Times New Roman" w:hAnsi="Times New Roman" w:hint="eastAsia"/>
          <w:b/>
          <w:bCs/>
          <w:lang w:val="en-US"/>
        </w:rPr>
        <w:t xml:space="preserve">address the signaling reduction for (C)HO, e.g. Using common configuration </w:t>
      </w:r>
      <w:r w:rsidR="00041CBA">
        <w:rPr>
          <w:rFonts w:ascii="Times New Roman" w:hAnsi="Times New Roman"/>
          <w:b/>
          <w:bCs/>
          <w:lang w:val="en-US"/>
        </w:rPr>
        <w:t>for NTN</w:t>
      </w:r>
      <w:r>
        <w:rPr>
          <w:rFonts w:ascii="Times New Roman" w:hAnsi="Times New Roman"/>
          <w:b/>
          <w:bCs/>
          <w:lang w:val="en-US"/>
        </w:rPr>
        <w:t>-NTN and NTN-TN mobility enhancements in connected mode.</w:t>
      </w:r>
    </w:p>
    <w:p w14:paraId="06A33B21" w14:textId="77777777" w:rsidR="00492BDA" w:rsidRDefault="00352972">
      <w:pPr>
        <w:rPr>
          <w:rFonts w:ascii="Times New Roman" w:hAnsi="Times New Roman"/>
          <w:b/>
          <w:lang w:val="en-US"/>
        </w:rPr>
      </w:pPr>
      <w:r>
        <w:rPr>
          <w:rFonts w:ascii="Times New Roman" w:hAnsi="Times New Roman"/>
          <w:b/>
          <w:lang w:val="en-US"/>
        </w:rPr>
        <w:t>Proposal 5: In R</w:t>
      </w:r>
      <w:r>
        <w:rPr>
          <w:rFonts w:ascii="Times New Roman" w:hAnsi="Times New Roman"/>
          <w:b/>
          <w:lang w:val="en-US"/>
        </w:rPr>
        <w:t>el-19 NR NTN, introduce band n256, n255, n254 to support PC2 (+26dBm) for hand-held UE.</w:t>
      </w:r>
    </w:p>
    <w:p w14:paraId="3F202732" w14:textId="361B2B49" w:rsidR="00492BDA" w:rsidRDefault="00352972">
      <w:pPr>
        <w:rPr>
          <w:rFonts w:ascii="Times New Roman" w:hAnsi="Times New Roman"/>
          <w:b/>
          <w:bCs/>
          <w:lang w:val="en-US"/>
        </w:rPr>
      </w:pPr>
      <w:r>
        <w:rPr>
          <w:rFonts w:ascii="Times New Roman" w:hAnsi="Times New Roman"/>
          <w:b/>
          <w:bCs/>
          <w:lang w:val="en-US"/>
        </w:rPr>
        <w:t xml:space="preserve">Proposal </w:t>
      </w:r>
      <w:r>
        <w:rPr>
          <w:rFonts w:ascii="Times New Roman" w:hAnsi="Times New Roman" w:hint="eastAsia"/>
          <w:b/>
          <w:bCs/>
          <w:lang w:val="en-US"/>
        </w:rPr>
        <w:t>6</w:t>
      </w:r>
      <w:r>
        <w:rPr>
          <w:rFonts w:ascii="Times New Roman" w:hAnsi="Times New Roman"/>
          <w:b/>
          <w:bCs/>
          <w:lang w:val="en-US"/>
        </w:rPr>
        <w:t xml:space="preserve">: RAN study and specify necessary enhancements to support S&amp;F Satellite </w:t>
      </w:r>
      <w:r w:rsidR="00041CBA">
        <w:rPr>
          <w:rFonts w:ascii="Times New Roman" w:hAnsi="Times New Roman"/>
          <w:b/>
          <w:bCs/>
          <w:lang w:val="en-US"/>
        </w:rPr>
        <w:t>operation in</w:t>
      </w:r>
      <w:r>
        <w:rPr>
          <w:rFonts w:ascii="Times New Roman" w:hAnsi="Times New Roman"/>
          <w:b/>
          <w:bCs/>
          <w:lang w:val="en-US"/>
        </w:rPr>
        <w:t xml:space="preserve"> Rel-19 IoT NTN.</w:t>
      </w:r>
    </w:p>
    <w:p w14:paraId="4F8C8A92" w14:textId="77777777" w:rsidR="00492BDA" w:rsidRDefault="00352972">
      <w:pPr>
        <w:rPr>
          <w:rFonts w:ascii="Times New Roman" w:hAnsi="Times New Roman"/>
          <w:b/>
          <w:lang w:val="en-US"/>
        </w:rPr>
      </w:pPr>
      <w:r>
        <w:rPr>
          <w:rFonts w:ascii="Times New Roman" w:hAnsi="Times New Roman"/>
          <w:b/>
          <w:lang w:val="en-US"/>
        </w:rPr>
        <w:t xml:space="preserve">Proposal </w:t>
      </w:r>
      <w:r>
        <w:rPr>
          <w:rFonts w:ascii="Times New Roman" w:hAnsi="Times New Roman" w:hint="eastAsia"/>
          <w:b/>
          <w:lang w:val="en-US"/>
        </w:rPr>
        <w:t>7</w:t>
      </w:r>
      <w:r>
        <w:rPr>
          <w:rFonts w:ascii="Times New Roman" w:hAnsi="Times New Roman"/>
          <w:b/>
          <w:lang w:val="en-US"/>
        </w:rPr>
        <w:t>: In Rel-19 IoT NTN, introduce band 254 and 25</w:t>
      </w:r>
      <w:r>
        <w:rPr>
          <w:rFonts w:ascii="Times New Roman" w:hAnsi="Times New Roman"/>
          <w:b/>
          <w:lang w:val="en-US"/>
        </w:rPr>
        <w:t>3 to support PC2 (+26dBm) for hand-held UE.</w:t>
      </w:r>
    </w:p>
    <w:p w14:paraId="5DACE1F9" w14:textId="77777777" w:rsidR="00492BDA" w:rsidRDefault="00492BDA">
      <w:pPr>
        <w:rPr>
          <w:rFonts w:ascii="Times New Roman" w:hAnsi="Times New Roman"/>
          <w:b/>
          <w:bCs/>
          <w:lang w:val="fr-FR"/>
        </w:rPr>
      </w:pPr>
    </w:p>
    <w:sectPr w:rsidR="00492BDA">
      <w:footerReference w:type="default" r:id="rId9"/>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DF50E" w14:textId="77777777" w:rsidR="00352972" w:rsidRDefault="00352972">
      <w:pPr>
        <w:spacing w:after="0"/>
      </w:pPr>
      <w:r>
        <w:separator/>
      </w:r>
    </w:p>
  </w:endnote>
  <w:endnote w:type="continuationSeparator" w:id="0">
    <w:p w14:paraId="1DAB69F7" w14:textId="77777777" w:rsidR="00352972" w:rsidRDefault="003529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916DE" w14:textId="77777777" w:rsidR="00492BDA" w:rsidRDefault="00352972">
    <w:pPr>
      <w:pStyle w:val="af"/>
      <w:tabs>
        <w:tab w:val="center" w:pos="4820"/>
        <w:tab w:val="right" w:pos="9639"/>
      </w:tabs>
      <w:jc w:val="left"/>
    </w:pPr>
    <w:r>
      <w:tab/>
    </w:r>
    <w:r>
      <w:fldChar w:fldCharType="begin"/>
    </w:r>
    <w:r>
      <w:rPr>
        <w:rStyle w:val="afd"/>
      </w:rPr>
      <w:instrText xml:space="preserve"> PAGE </w:instrText>
    </w:r>
    <w:r>
      <w:fldChar w:fldCharType="separate"/>
    </w:r>
    <w:r>
      <w:rPr>
        <w:rStyle w:val="afd"/>
      </w:rPr>
      <w:t>2</w:t>
    </w:r>
    <w:r>
      <w:fldChar w:fldCharType="end"/>
    </w:r>
    <w:r>
      <w:rPr>
        <w:rStyle w:val="afd"/>
      </w:rPr>
      <w:t>/</w:t>
    </w:r>
    <w:r>
      <w:fldChar w:fldCharType="begin"/>
    </w:r>
    <w:r>
      <w:rPr>
        <w:rStyle w:val="afd"/>
      </w:rPr>
      <w:instrText xml:space="preserve"> NUMPAGES </w:instrText>
    </w:r>
    <w:r>
      <w:fldChar w:fldCharType="separate"/>
    </w:r>
    <w:r>
      <w:rPr>
        <w:rStyle w:val="afd"/>
      </w:rPr>
      <w:t>2</w:t>
    </w:r>
    <w:r>
      <w:fldChar w:fldCharType="end"/>
    </w:r>
    <w:r>
      <w:rPr>
        <w:rStyle w:val="afd"/>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6AC15" w14:textId="77777777" w:rsidR="00352972" w:rsidRDefault="00352972">
      <w:pPr>
        <w:spacing w:after="0"/>
      </w:pPr>
      <w:r>
        <w:separator/>
      </w:r>
    </w:p>
  </w:footnote>
  <w:footnote w:type="continuationSeparator" w:id="0">
    <w:p w14:paraId="2CE4EF39" w14:textId="77777777" w:rsidR="00352972" w:rsidRDefault="003529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multilevel"/>
    <w:tmpl w:val="11261389"/>
    <w:lvl w:ilvl="0">
      <w:start w:val="1"/>
      <w:numFmt w:val="decimal"/>
      <w:pStyle w:val="Proposal"/>
      <w:lvlText w:val="Proposal %1"/>
      <w:lvlJc w:val="left"/>
      <w:pPr>
        <w:ind w:left="1701" w:hanging="1701"/>
      </w:pPr>
      <w:rPr>
        <w:rFonts w:ascii="Arial" w:hAnsi="Aria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B8E5500"/>
    <w:multiLevelType w:val="multilevel"/>
    <w:tmpl w:val="1B8E5500"/>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C9D752F"/>
    <w:multiLevelType w:val="multilevel"/>
    <w:tmpl w:val="1C9D752F"/>
    <w:lvl w:ilvl="0">
      <w:start w:val="1"/>
      <w:numFmt w:val="bullet"/>
      <w:pStyle w:val="textintend2"/>
      <w:lvlText w:val=""/>
      <w:lvlJc w:val="left"/>
      <w:pPr>
        <w:tabs>
          <w:tab w:val="left" w:pos="1418"/>
        </w:tabs>
        <w:ind w:left="1418" w:hanging="426"/>
      </w:pPr>
      <w:rPr>
        <w:rFonts w:ascii="Wingdings" w:hAnsi="Wingding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148019C"/>
    <w:multiLevelType w:val="multilevel"/>
    <w:tmpl w:val="2148019C"/>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 w15:restartNumberingAfterBreak="0">
    <w:nsid w:val="332F4931"/>
    <w:multiLevelType w:val="multilevel"/>
    <w:tmpl w:val="332F4931"/>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16C7E23"/>
    <w:multiLevelType w:val="multilevel"/>
    <w:tmpl w:val="416C7E23"/>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2784390"/>
    <w:multiLevelType w:val="multilevel"/>
    <w:tmpl w:val="42784390"/>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i w:val="0"/>
      </w:rPr>
    </w:lvl>
    <w:lvl w:ilvl="2">
      <w:start w:val="1"/>
      <w:numFmt w:val="decimal"/>
      <w:pStyle w:val="30"/>
      <w:lvlText w:val="%1.%2.%3"/>
      <w:lvlJc w:val="left"/>
      <w:pPr>
        <w:tabs>
          <w:tab w:val="left" w:pos="4264"/>
        </w:tabs>
        <w:ind w:left="4264" w:hanging="720"/>
      </w:pPr>
      <w:rPr>
        <w:rFonts w:hint="default"/>
        <w:i w:val="0"/>
      </w:rPr>
    </w:lvl>
    <w:lvl w:ilvl="3">
      <w:start w:val="1"/>
      <w:numFmt w:val="decimal"/>
      <w:pStyle w:val="4"/>
      <w:lvlText w:val="%1.%2.%3.%4"/>
      <w:lvlJc w:val="left"/>
      <w:pPr>
        <w:tabs>
          <w:tab w:val="left" w:pos="864"/>
        </w:tabs>
        <w:ind w:left="864" w:hanging="864"/>
      </w:pPr>
      <w:rPr>
        <w:rFonts w:hint="default"/>
        <w:i w:val="0"/>
      </w:rPr>
    </w:lvl>
    <w:lvl w:ilvl="4">
      <w:start w:val="1"/>
      <w:numFmt w:val="decimal"/>
      <w:pStyle w:val="50"/>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518234CB"/>
    <w:multiLevelType w:val="multilevel"/>
    <w:tmpl w:val="518234CB"/>
    <w:lvl w:ilvl="0">
      <w:start w:val="1"/>
      <w:numFmt w:val="bullet"/>
      <w:pStyle w:val="textintend1"/>
      <w:lvlText w:val=""/>
      <w:lvlJc w:val="left"/>
      <w:pPr>
        <w:tabs>
          <w:tab w:val="left" w:pos="992"/>
        </w:tabs>
        <w:ind w:left="992" w:hanging="425"/>
      </w:pPr>
      <w:rPr>
        <w:rFonts w:ascii="Symbol" w:eastAsia="Times New Roman" w:hAnsi="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534A79D7"/>
    <w:multiLevelType w:val="multilevel"/>
    <w:tmpl w:val="534A79D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6222E14"/>
    <w:multiLevelType w:val="multilevel"/>
    <w:tmpl w:val="56222E14"/>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2CD189C"/>
    <w:multiLevelType w:val="multilevel"/>
    <w:tmpl w:val="62CD189C"/>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67A618A0"/>
    <w:multiLevelType w:val="multilevel"/>
    <w:tmpl w:val="67A618A0"/>
    <w:lvl w:ilvl="0">
      <w:start w:val="1"/>
      <w:numFmt w:val="decimal"/>
      <w:pStyle w:val="Observation"/>
      <w:lvlText w:val="Observation %1"/>
      <w:lvlJc w:val="left"/>
      <w:pPr>
        <w:ind w:left="36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E4C1C54"/>
    <w:multiLevelType w:val="multilevel"/>
    <w:tmpl w:val="6E4C1C54"/>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3"/>
  </w:num>
  <w:num w:numId="3">
    <w:abstractNumId w:val="5"/>
  </w:num>
  <w:num w:numId="4">
    <w:abstractNumId w:val="1"/>
  </w:num>
  <w:num w:numId="5">
    <w:abstractNumId w:val="9"/>
  </w:num>
  <w:num w:numId="6">
    <w:abstractNumId w:val="3"/>
  </w:num>
  <w:num w:numId="7">
    <w:abstractNumId w:val="8"/>
  </w:num>
  <w:num w:numId="8">
    <w:abstractNumId w:val="0"/>
  </w:num>
  <w:num w:numId="9">
    <w:abstractNumId w:val="12"/>
  </w:num>
  <w:num w:numId="10">
    <w:abstractNumId w:val="2"/>
  </w:num>
  <w:num w:numId="11">
    <w:abstractNumId w:val="10"/>
  </w:num>
  <w:num w:numId="12">
    <w:abstractNumId w:val="7"/>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IwMrMwtjA2MTU1NLZU0lEKTi0uzszPAykwrAUAiMqPLCwAAAA="/>
  </w:docVars>
  <w:rsids>
    <w:rsidRoot w:val="00FB3C9D"/>
    <w:rsid w:val="00000244"/>
    <w:rsid w:val="00000A33"/>
    <w:rsid w:val="00000E2A"/>
    <w:rsid w:val="00001A55"/>
    <w:rsid w:val="00002211"/>
    <w:rsid w:val="0000329D"/>
    <w:rsid w:val="000041CC"/>
    <w:rsid w:val="00005D38"/>
    <w:rsid w:val="00006073"/>
    <w:rsid w:val="00006910"/>
    <w:rsid w:val="0000733F"/>
    <w:rsid w:val="00012ADF"/>
    <w:rsid w:val="00015D4A"/>
    <w:rsid w:val="00015ECB"/>
    <w:rsid w:val="00017121"/>
    <w:rsid w:val="00020218"/>
    <w:rsid w:val="0002231F"/>
    <w:rsid w:val="000229C4"/>
    <w:rsid w:val="00022EB0"/>
    <w:rsid w:val="00023523"/>
    <w:rsid w:val="00023758"/>
    <w:rsid w:val="00023B66"/>
    <w:rsid w:val="000271BB"/>
    <w:rsid w:val="00027541"/>
    <w:rsid w:val="0003207D"/>
    <w:rsid w:val="000328EA"/>
    <w:rsid w:val="0003461C"/>
    <w:rsid w:val="00034B3C"/>
    <w:rsid w:val="00035079"/>
    <w:rsid w:val="00035095"/>
    <w:rsid w:val="00035159"/>
    <w:rsid w:val="0003754F"/>
    <w:rsid w:val="000402EA"/>
    <w:rsid w:val="00041594"/>
    <w:rsid w:val="00041B32"/>
    <w:rsid w:val="00041CBA"/>
    <w:rsid w:val="00041DA2"/>
    <w:rsid w:val="000424C1"/>
    <w:rsid w:val="000427A6"/>
    <w:rsid w:val="0004357D"/>
    <w:rsid w:val="00043613"/>
    <w:rsid w:val="00043C1A"/>
    <w:rsid w:val="00044D3C"/>
    <w:rsid w:val="000460AE"/>
    <w:rsid w:val="00046206"/>
    <w:rsid w:val="00046B6E"/>
    <w:rsid w:val="00047E38"/>
    <w:rsid w:val="00050648"/>
    <w:rsid w:val="00050740"/>
    <w:rsid w:val="00050829"/>
    <w:rsid w:val="00051FF9"/>
    <w:rsid w:val="00052308"/>
    <w:rsid w:val="00052E67"/>
    <w:rsid w:val="000553AA"/>
    <w:rsid w:val="000571A8"/>
    <w:rsid w:val="00057774"/>
    <w:rsid w:val="000600F2"/>
    <w:rsid w:val="00061BC7"/>
    <w:rsid w:val="00061F4E"/>
    <w:rsid w:val="0006489D"/>
    <w:rsid w:val="000651A3"/>
    <w:rsid w:val="00065DFD"/>
    <w:rsid w:val="00066849"/>
    <w:rsid w:val="00066F60"/>
    <w:rsid w:val="00067759"/>
    <w:rsid w:val="00070D21"/>
    <w:rsid w:val="00071306"/>
    <w:rsid w:val="00071672"/>
    <w:rsid w:val="00072BE5"/>
    <w:rsid w:val="000747B3"/>
    <w:rsid w:val="00075C6B"/>
    <w:rsid w:val="0008045F"/>
    <w:rsid w:val="00080529"/>
    <w:rsid w:val="00080C41"/>
    <w:rsid w:val="000830B0"/>
    <w:rsid w:val="000831DF"/>
    <w:rsid w:val="00084149"/>
    <w:rsid w:val="000856A1"/>
    <w:rsid w:val="0008589A"/>
    <w:rsid w:val="00087A0C"/>
    <w:rsid w:val="00087C76"/>
    <w:rsid w:val="00090843"/>
    <w:rsid w:val="000918CA"/>
    <w:rsid w:val="00091EF7"/>
    <w:rsid w:val="00091F89"/>
    <w:rsid w:val="000920F1"/>
    <w:rsid w:val="00093713"/>
    <w:rsid w:val="00094317"/>
    <w:rsid w:val="0009452C"/>
    <w:rsid w:val="0009512B"/>
    <w:rsid w:val="00095875"/>
    <w:rsid w:val="00095E77"/>
    <w:rsid w:val="000976CD"/>
    <w:rsid w:val="00097CE7"/>
    <w:rsid w:val="000A07CD"/>
    <w:rsid w:val="000A0880"/>
    <w:rsid w:val="000A2813"/>
    <w:rsid w:val="000A5B10"/>
    <w:rsid w:val="000A5D21"/>
    <w:rsid w:val="000A73DA"/>
    <w:rsid w:val="000B09E5"/>
    <w:rsid w:val="000B0DC5"/>
    <w:rsid w:val="000B3F8F"/>
    <w:rsid w:val="000B4328"/>
    <w:rsid w:val="000B4B60"/>
    <w:rsid w:val="000B5A0D"/>
    <w:rsid w:val="000B5FE1"/>
    <w:rsid w:val="000B6C6D"/>
    <w:rsid w:val="000B7119"/>
    <w:rsid w:val="000C1655"/>
    <w:rsid w:val="000C4C0A"/>
    <w:rsid w:val="000C4FC1"/>
    <w:rsid w:val="000C5068"/>
    <w:rsid w:val="000C5272"/>
    <w:rsid w:val="000C6590"/>
    <w:rsid w:val="000C6A26"/>
    <w:rsid w:val="000C7608"/>
    <w:rsid w:val="000D00FE"/>
    <w:rsid w:val="000D0287"/>
    <w:rsid w:val="000D0648"/>
    <w:rsid w:val="000D074F"/>
    <w:rsid w:val="000D16A7"/>
    <w:rsid w:val="000D2143"/>
    <w:rsid w:val="000D2BBD"/>
    <w:rsid w:val="000D4C8D"/>
    <w:rsid w:val="000D575D"/>
    <w:rsid w:val="000E0143"/>
    <w:rsid w:val="000E02EC"/>
    <w:rsid w:val="000E03CA"/>
    <w:rsid w:val="000E042B"/>
    <w:rsid w:val="000E09DA"/>
    <w:rsid w:val="000E14E2"/>
    <w:rsid w:val="000E1B9B"/>
    <w:rsid w:val="000E66C6"/>
    <w:rsid w:val="000E7610"/>
    <w:rsid w:val="000F0EF0"/>
    <w:rsid w:val="000F3C93"/>
    <w:rsid w:val="000F5D4E"/>
    <w:rsid w:val="001003AE"/>
    <w:rsid w:val="0010328A"/>
    <w:rsid w:val="0010413F"/>
    <w:rsid w:val="001044AD"/>
    <w:rsid w:val="00105DFA"/>
    <w:rsid w:val="001066FF"/>
    <w:rsid w:val="00110EAB"/>
    <w:rsid w:val="001110BF"/>
    <w:rsid w:val="0011381E"/>
    <w:rsid w:val="00113ACC"/>
    <w:rsid w:val="00113EFB"/>
    <w:rsid w:val="00114C40"/>
    <w:rsid w:val="00114DEA"/>
    <w:rsid w:val="00115FC5"/>
    <w:rsid w:val="00117CF6"/>
    <w:rsid w:val="00120AA2"/>
    <w:rsid w:val="001215BC"/>
    <w:rsid w:val="0012235F"/>
    <w:rsid w:val="0012254F"/>
    <w:rsid w:val="0012282D"/>
    <w:rsid w:val="00123300"/>
    <w:rsid w:val="00123CCC"/>
    <w:rsid w:val="00125F99"/>
    <w:rsid w:val="00126782"/>
    <w:rsid w:val="00130DAA"/>
    <w:rsid w:val="0013152B"/>
    <w:rsid w:val="00133597"/>
    <w:rsid w:val="0013500B"/>
    <w:rsid w:val="0013603F"/>
    <w:rsid w:val="00136BA4"/>
    <w:rsid w:val="00136D1F"/>
    <w:rsid w:val="00137144"/>
    <w:rsid w:val="00137C2F"/>
    <w:rsid w:val="00144218"/>
    <w:rsid w:val="001446C2"/>
    <w:rsid w:val="00145245"/>
    <w:rsid w:val="001464F8"/>
    <w:rsid w:val="00146512"/>
    <w:rsid w:val="00146E5B"/>
    <w:rsid w:val="00146FD2"/>
    <w:rsid w:val="00151002"/>
    <w:rsid w:val="00152754"/>
    <w:rsid w:val="00152E54"/>
    <w:rsid w:val="00153C00"/>
    <w:rsid w:val="001541EF"/>
    <w:rsid w:val="001571D5"/>
    <w:rsid w:val="00161EB1"/>
    <w:rsid w:val="00163D68"/>
    <w:rsid w:val="00164072"/>
    <w:rsid w:val="0016524B"/>
    <w:rsid w:val="0016575B"/>
    <w:rsid w:val="0016799D"/>
    <w:rsid w:val="00171792"/>
    <w:rsid w:val="00173290"/>
    <w:rsid w:val="00173332"/>
    <w:rsid w:val="00174D80"/>
    <w:rsid w:val="00175DBA"/>
    <w:rsid w:val="00182523"/>
    <w:rsid w:val="00182A73"/>
    <w:rsid w:val="00182D7B"/>
    <w:rsid w:val="0018325B"/>
    <w:rsid w:val="0018417B"/>
    <w:rsid w:val="00184BCC"/>
    <w:rsid w:val="00185676"/>
    <w:rsid w:val="001872AD"/>
    <w:rsid w:val="001908D3"/>
    <w:rsid w:val="00193786"/>
    <w:rsid w:val="00193B32"/>
    <w:rsid w:val="001944F2"/>
    <w:rsid w:val="00194921"/>
    <w:rsid w:val="0019628E"/>
    <w:rsid w:val="00196B81"/>
    <w:rsid w:val="00197B03"/>
    <w:rsid w:val="001A0BB5"/>
    <w:rsid w:val="001A46DD"/>
    <w:rsid w:val="001A480A"/>
    <w:rsid w:val="001A5C0A"/>
    <w:rsid w:val="001A5DC6"/>
    <w:rsid w:val="001A6551"/>
    <w:rsid w:val="001A6834"/>
    <w:rsid w:val="001A799D"/>
    <w:rsid w:val="001B00C3"/>
    <w:rsid w:val="001B1BD4"/>
    <w:rsid w:val="001B2889"/>
    <w:rsid w:val="001B3D23"/>
    <w:rsid w:val="001B3D89"/>
    <w:rsid w:val="001B490B"/>
    <w:rsid w:val="001B63D5"/>
    <w:rsid w:val="001B64DA"/>
    <w:rsid w:val="001B6D93"/>
    <w:rsid w:val="001B7367"/>
    <w:rsid w:val="001B7A0C"/>
    <w:rsid w:val="001C01FE"/>
    <w:rsid w:val="001C0379"/>
    <w:rsid w:val="001C043B"/>
    <w:rsid w:val="001C1ED6"/>
    <w:rsid w:val="001C41A4"/>
    <w:rsid w:val="001C6DAB"/>
    <w:rsid w:val="001C7F9B"/>
    <w:rsid w:val="001D0711"/>
    <w:rsid w:val="001D0743"/>
    <w:rsid w:val="001D0E02"/>
    <w:rsid w:val="001D0EFD"/>
    <w:rsid w:val="001D1F24"/>
    <w:rsid w:val="001D224D"/>
    <w:rsid w:val="001D2FCA"/>
    <w:rsid w:val="001D3C21"/>
    <w:rsid w:val="001D65DD"/>
    <w:rsid w:val="001E02F0"/>
    <w:rsid w:val="001E3202"/>
    <w:rsid w:val="001E3BBD"/>
    <w:rsid w:val="001E4C93"/>
    <w:rsid w:val="001E556E"/>
    <w:rsid w:val="001E5903"/>
    <w:rsid w:val="001E6FF6"/>
    <w:rsid w:val="001F03A6"/>
    <w:rsid w:val="001F1CF6"/>
    <w:rsid w:val="001F2928"/>
    <w:rsid w:val="001F3FE1"/>
    <w:rsid w:val="001F40A5"/>
    <w:rsid w:val="001F660C"/>
    <w:rsid w:val="002006F7"/>
    <w:rsid w:val="00201BF3"/>
    <w:rsid w:val="00201D0B"/>
    <w:rsid w:val="0020216B"/>
    <w:rsid w:val="0020327F"/>
    <w:rsid w:val="00204797"/>
    <w:rsid w:val="00206B44"/>
    <w:rsid w:val="002073A4"/>
    <w:rsid w:val="0020779D"/>
    <w:rsid w:val="00207FB8"/>
    <w:rsid w:val="00210171"/>
    <w:rsid w:val="00210F1A"/>
    <w:rsid w:val="00211351"/>
    <w:rsid w:val="00211447"/>
    <w:rsid w:val="00211AD3"/>
    <w:rsid w:val="00212650"/>
    <w:rsid w:val="00212FB1"/>
    <w:rsid w:val="0021419D"/>
    <w:rsid w:val="00215F40"/>
    <w:rsid w:val="00216594"/>
    <w:rsid w:val="00220A47"/>
    <w:rsid w:val="002226D1"/>
    <w:rsid w:val="00223C00"/>
    <w:rsid w:val="0022442D"/>
    <w:rsid w:val="00224D61"/>
    <w:rsid w:val="00226C87"/>
    <w:rsid w:val="002313D4"/>
    <w:rsid w:val="00231ED6"/>
    <w:rsid w:val="0023324E"/>
    <w:rsid w:val="00235396"/>
    <w:rsid w:val="00235DB8"/>
    <w:rsid w:val="002416CE"/>
    <w:rsid w:val="002416E2"/>
    <w:rsid w:val="00241724"/>
    <w:rsid w:val="0024179E"/>
    <w:rsid w:val="00243405"/>
    <w:rsid w:val="00244524"/>
    <w:rsid w:val="002448E7"/>
    <w:rsid w:val="00244E56"/>
    <w:rsid w:val="00245E1B"/>
    <w:rsid w:val="0024632E"/>
    <w:rsid w:val="002469BE"/>
    <w:rsid w:val="002504FA"/>
    <w:rsid w:val="002506CD"/>
    <w:rsid w:val="0025607A"/>
    <w:rsid w:val="00257956"/>
    <w:rsid w:val="00257DD1"/>
    <w:rsid w:val="0026097D"/>
    <w:rsid w:val="00261E7B"/>
    <w:rsid w:val="002652CD"/>
    <w:rsid w:val="00266244"/>
    <w:rsid w:val="00266E0C"/>
    <w:rsid w:val="0026725A"/>
    <w:rsid w:val="002675AB"/>
    <w:rsid w:val="002719A1"/>
    <w:rsid w:val="00274595"/>
    <w:rsid w:val="0027630C"/>
    <w:rsid w:val="00276458"/>
    <w:rsid w:val="002764AC"/>
    <w:rsid w:val="00276572"/>
    <w:rsid w:val="00276E9C"/>
    <w:rsid w:val="00280FBE"/>
    <w:rsid w:val="00281CCF"/>
    <w:rsid w:val="002828BF"/>
    <w:rsid w:val="00283C1B"/>
    <w:rsid w:val="00284D1D"/>
    <w:rsid w:val="00285151"/>
    <w:rsid w:val="00285A65"/>
    <w:rsid w:val="00285C05"/>
    <w:rsid w:val="002869EE"/>
    <w:rsid w:val="002912C0"/>
    <w:rsid w:val="0029341F"/>
    <w:rsid w:val="002A3FE5"/>
    <w:rsid w:val="002A7020"/>
    <w:rsid w:val="002A782B"/>
    <w:rsid w:val="002B0A46"/>
    <w:rsid w:val="002B0A9A"/>
    <w:rsid w:val="002B0C66"/>
    <w:rsid w:val="002B342C"/>
    <w:rsid w:val="002B42F5"/>
    <w:rsid w:val="002B4EBC"/>
    <w:rsid w:val="002B543F"/>
    <w:rsid w:val="002B606D"/>
    <w:rsid w:val="002C00FB"/>
    <w:rsid w:val="002C0667"/>
    <w:rsid w:val="002C17FA"/>
    <w:rsid w:val="002C222F"/>
    <w:rsid w:val="002C22BF"/>
    <w:rsid w:val="002C2392"/>
    <w:rsid w:val="002C2CB1"/>
    <w:rsid w:val="002C2EDC"/>
    <w:rsid w:val="002C3F4B"/>
    <w:rsid w:val="002C501A"/>
    <w:rsid w:val="002C586A"/>
    <w:rsid w:val="002C67C3"/>
    <w:rsid w:val="002C682B"/>
    <w:rsid w:val="002C6E9D"/>
    <w:rsid w:val="002C754E"/>
    <w:rsid w:val="002C75FE"/>
    <w:rsid w:val="002D07F8"/>
    <w:rsid w:val="002D0EF9"/>
    <w:rsid w:val="002D3432"/>
    <w:rsid w:val="002D356A"/>
    <w:rsid w:val="002D3DEE"/>
    <w:rsid w:val="002D5AE9"/>
    <w:rsid w:val="002D5FD7"/>
    <w:rsid w:val="002D6F38"/>
    <w:rsid w:val="002E30F4"/>
    <w:rsid w:val="002E45E2"/>
    <w:rsid w:val="002E4B00"/>
    <w:rsid w:val="002E6820"/>
    <w:rsid w:val="002F037B"/>
    <w:rsid w:val="002F0908"/>
    <w:rsid w:val="002F0BD9"/>
    <w:rsid w:val="002F2F64"/>
    <w:rsid w:val="002F494C"/>
    <w:rsid w:val="002F5CB7"/>
    <w:rsid w:val="002F6B1B"/>
    <w:rsid w:val="002F6D91"/>
    <w:rsid w:val="002F7AB4"/>
    <w:rsid w:val="003007DF"/>
    <w:rsid w:val="0030123B"/>
    <w:rsid w:val="003014DF"/>
    <w:rsid w:val="00302940"/>
    <w:rsid w:val="00303CEE"/>
    <w:rsid w:val="00304D11"/>
    <w:rsid w:val="00304E46"/>
    <w:rsid w:val="00304FDA"/>
    <w:rsid w:val="00305458"/>
    <w:rsid w:val="00306EDF"/>
    <w:rsid w:val="0030786E"/>
    <w:rsid w:val="00307D10"/>
    <w:rsid w:val="00310205"/>
    <w:rsid w:val="00310775"/>
    <w:rsid w:val="00310E40"/>
    <w:rsid w:val="00311F3F"/>
    <w:rsid w:val="00312F2B"/>
    <w:rsid w:val="003134B3"/>
    <w:rsid w:val="00313535"/>
    <w:rsid w:val="00313F0E"/>
    <w:rsid w:val="00313F67"/>
    <w:rsid w:val="003142E4"/>
    <w:rsid w:val="00315577"/>
    <w:rsid w:val="00315727"/>
    <w:rsid w:val="00315B28"/>
    <w:rsid w:val="00315CAB"/>
    <w:rsid w:val="00320928"/>
    <w:rsid w:val="00320AB2"/>
    <w:rsid w:val="003210DC"/>
    <w:rsid w:val="00322E2F"/>
    <w:rsid w:val="003236AE"/>
    <w:rsid w:val="0032532E"/>
    <w:rsid w:val="00325BFC"/>
    <w:rsid w:val="003264A9"/>
    <w:rsid w:val="00330252"/>
    <w:rsid w:val="00333A7F"/>
    <w:rsid w:val="00337666"/>
    <w:rsid w:val="00340117"/>
    <w:rsid w:val="00344695"/>
    <w:rsid w:val="00345593"/>
    <w:rsid w:val="0034571D"/>
    <w:rsid w:val="00347E26"/>
    <w:rsid w:val="003517E4"/>
    <w:rsid w:val="003528DA"/>
    <w:rsid w:val="00352972"/>
    <w:rsid w:val="00354AED"/>
    <w:rsid w:val="003561F1"/>
    <w:rsid w:val="00356EF4"/>
    <w:rsid w:val="00357EC2"/>
    <w:rsid w:val="00360565"/>
    <w:rsid w:val="00360B57"/>
    <w:rsid w:val="0036114A"/>
    <w:rsid w:val="00361540"/>
    <w:rsid w:val="00362F5A"/>
    <w:rsid w:val="0036372C"/>
    <w:rsid w:val="00363BB8"/>
    <w:rsid w:val="00365718"/>
    <w:rsid w:val="00366D15"/>
    <w:rsid w:val="00367918"/>
    <w:rsid w:val="003709F5"/>
    <w:rsid w:val="003715CC"/>
    <w:rsid w:val="003734FA"/>
    <w:rsid w:val="003743D4"/>
    <w:rsid w:val="00376B2D"/>
    <w:rsid w:val="00377EFF"/>
    <w:rsid w:val="00380055"/>
    <w:rsid w:val="00380D44"/>
    <w:rsid w:val="0038188F"/>
    <w:rsid w:val="0038350F"/>
    <w:rsid w:val="0038427D"/>
    <w:rsid w:val="003842E4"/>
    <w:rsid w:val="00386992"/>
    <w:rsid w:val="00386A08"/>
    <w:rsid w:val="00386DB1"/>
    <w:rsid w:val="00386F7A"/>
    <w:rsid w:val="003875D9"/>
    <w:rsid w:val="0039075A"/>
    <w:rsid w:val="00391515"/>
    <w:rsid w:val="0039191A"/>
    <w:rsid w:val="00392538"/>
    <w:rsid w:val="00392BB3"/>
    <w:rsid w:val="00394C02"/>
    <w:rsid w:val="0039504D"/>
    <w:rsid w:val="00395609"/>
    <w:rsid w:val="003973C0"/>
    <w:rsid w:val="003A04B8"/>
    <w:rsid w:val="003A0C34"/>
    <w:rsid w:val="003A1DA9"/>
    <w:rsid w:val="003A315C"/>
    <w:rsid w:val="003A3BCA"/>
    <w:rsid w:val="003A5748"/>
    <w:rsid w:val="003A6182"/>
    <w:rsid w:val="003A67D7"/>
    <w:rsid w:val="003B176E"/>
    <w:rsid w:val="003B2A7B"/>
    <w:rsid w:val="003B35EE"/>
    <w:rsid w:val="003B5800"/>
    <w:rsid w:val="003B61CA"/>
    <w:rsid w:val="003B69C5"/>
    <w:rsid w:val="003B700D"/>
    <w:rsid w:val="003C062E"/>
    <w:rsid w:val="003C2081"/>
    <w:rsid w:val="003C23FB"/>
    <w:rsid w:val="003C43B0"/>
    <w:rsid w:val="003C6AD2"/>
    <w:rsid w:val="003C7201"/>
    <w:rsid w:val="003D114E"/>
    <w:rsid w:val="003D164A"/>
    <w:rsid w:val="003D1A62"/>
    <w:rsid w:val="003D1DDD"/>
    <w:rsid w:val="003D2725"/>
    <w:rsid w:val="003D290B"/>
    <w:rsid w:val="003D5833"/>
    <w:rsid w:val="003D6D70"/>
    <w:rsid w:val="003E0C7E"/>
    <w:rsid w:val="003E137E"/>
    <w:rsid w:val="003E141A"/>
    <w:rsid w:val="003E188D"/>
    <w:rsid w:val="003E23D6"/>
    <w:rsid w:val="003E36EE"/>
    <w:rsid w:val="003E3AFA"/>
    <w:rsid w:val="003E4432"/>
    <w:rsid w:val="003E46CF"/>
    <w:rsid w:val="003E6888"/>
    <w:rsid w:val="003E72AB"/>
    <w:rsid w:val="003F2762"/>
    <w:rsid w:val="003F4940"/>
    <w:rsid w:val="003F4C46"/>
    <w:rsid w:val="003F4EFE"/>
    <w:rsid w:val="003F5F78"/>
    <w:rsid w:val="003F6EEE"/>
    <w:rsid w:val="003F7FF1"/>
    <w:rsid w:val="004002E5"/>
    <w:rsid w:val="00401DA4"/>
    <w:rsid w:val="00402CE8"/>
    <w:rsid w:val="00402D5A"/>
    <w:rsid w:val="00403D3D"/>
    <w:rsid w:val="00403E7F"/>
    <w:rsid w:val="00404249"/>
    <w:rsid w:val="004051B9"/>
    <w:rsid w:val="00405A25"/>
    <w:rsid w:val="004102D8"/>
    <w:rsid w:val="00411B2A"/>
    <w:rsid w:val="0041279E"/>
    <w:rsid w:val="00413871"/>
    <w:rsid w:val="00416C98"/>
    <w:rsid w:val="004174ED"/>
    <w:rsid w:val="00417788"/>
    <w:rsid w:val="00417E59"/>
    <w:rsid w:val="004217DB"/>
    <w:rsid w:val="004238C5"/>
    <w:rsid w:val="00423E90"/>
    <w:rsid w:val="00425B4D"/>
    <w:rsid w:val="00427C67"/>
    <w:rsid w:val="00430634"/>
    <w:rsid w:val="0043191E"/>
    <w:rsid w:val="00431991"/>
    <w:rsid w:val="00431D05"/>
    <w:rsid w:val="0043201F"/>
    <w:rsid w:val="0043203A"/>
    <w:rsid w:val="00432144"/>
    <w:rsid w:val="0043359C"/>
    <w:rsid w:val="0043433F"/>
    <w:rsid w:val="00434887"/>
    <w:rsid w:val="0043535F"/>
    <w:rsid w:val="00435AEC"/>
    <w:rsid w:val="00435F10"/>
    <w:rsid w:val="0043671D"/>
    <w:rsid w:val="004408C8"/>
    <w:rsid w:val="00443310"/>
    <w:rsid w:val="00444E1A"/>
    <w:rsid w:val="00446710"/>
    <w:rsid w:val="00446A29"/>
    <w:rsid w:val="00447B68"/>
    <w:rsid w:val="0045012C"/>
    <w:rsid w:val="00450A8E"/>
    <w:rsid w:val="00453276"/>
    <w:rsid w:val="00453C89"/>
    <w:rsid w:val="00454513"/>
    <w:rsid w:val="0045633B"/>
    <w:rsid w:val="004613EE"/>
    <w:rsid w:val="00462056"/>
    <w:rsid w:val="00462476"/>
    <w:rsid w:val="004641CF"/>
    <w:rsid w:val="0046441A"/>
    <w:rsid w:val="00465107"/>
    <w:rsid w:val="0046517B"/>
    <w:rsid w:val="00466280"/>
    <w:rsid w:val="00467939"/>
    <w:rsid w:val="00471929"/>
    <w:rsid w:val="00471A84"/>
    <w:rsid w:val="00472932"/>
    <w:rsid w:val="0047407C"/>
    <w:rsid w:val="00475053"/>
    <w:rsid w:val="0047595C"/>
    <w:rsid w:val="00475AA8"/>
    <w:rsid w:val="00476C1C"/>
    <w:rsid w:val="00476F75"/>
    <w:rsid w:val="00477C76"/>
    <w:rsid w:val="004804C7"/>
    <w:rsid w:val="00480A36"/>
    <w:rsid w:val="00480E51"/>
    <w:rsid w:val="0048219B"/>
    <w:rsid w:val="004822DC"/>
    <w:rsid w:val="00483472"/>
    <w:rsid w:val="00483591"/>
    <w:rsid w:val="00483DA2"/>
    <w:rsid w:val="00483DE8"/>
    <w:rsid w:val="00484C9C"/>
    <w:rsid w:val="00487006"/>
    <w:rsid w:val="00487269"/>
    <w:rsid w:val="00487F34"/>
    <w:rsid w:val="0049138D"/>
    <w:rsid w:val="00492BDA"/>
    <w:rsid w:val="00493BC6"/>
    <w:rsid w:val="00494918"/>
    <w:rsid w:val="004A0441"/>
    <w:rsid w:val="004A0D3D"/>
    <w:rsid w:val="004A0FF9"/>
    <w:rsid w:val="004A2954"/>
    <w:rsid w:val="004A2E52"/>
    <w:rsid w:val="004A3A66"/>
    <w:rsid w:val="004A3A9A"/>
    <w:rsid w:val="004A3BFE"/>
    <w:rsid w:val="004A470A"/>
    <w:rsid w:val="004A51A0"/>
    <w:rsid w:val="004A6620"/>
    <w:rsid w:val="004A6965"/>
    <w:rsid w:val="004A6B43"/>
    <w:rsid w:val="004A7B3E"/>
    <w:rsid w:val="004B0035"/>
    <w:rsid w:val="004B2880"/>
    <w:rsid w:val="004B36FA"/>
    <w:rsid w:val="004B4F9E"/>
    <w:rsid w:val="004B60E2"/>
    <w:rsid w:val="004B6A77"/>
    <w:rsid w:val="004B7085"/>
    <w:rsid w:val="004B7407"/>
    <w:rsid w:val="004C03D5"/>
    <w:rsid w:val="004C17C9"/>
    <w:rsid w:val="004C42B1"/>
    <w:rsid w:val="004C4B19"/>
    <w:rsid w:val="004C6627"/>
    <w:rsid w:val="004D0C33"/>
    <w:rsid w:val="004D0F4A"/>
    <w:rsid w:val="004D1103"/>
    <w:rsid w:val="004D183D"/>
    <w:rsid w:val="004D22AE"/>
    <w:rsid w:val="004D25E9"/>
    <w:rsid w:val="004D4339"/>
    <w:rsid w:val="004D5395"/>
    <w:rsid w:val="004D673D"/>
    <w:rsid w:val="004D6A6E"/>
    <w:rsid w:val="004D76C1"/>
    <w:rsid w:val="004E0755"/>
    <w:rsid w:val="004E13A4"/>
    <w:rsid w:val="004E1777"/>
    <w:rsid w:val="004E28FF"/>
    <w:rsid w:val="004E2DB9"/>
    <w:rsid w:val="004E320A"/>
    <w:rsid w:val="004E484A"/>
    <w:rsid w:val="004E4876"/>
    <w:rsid w:val="004E646F"/>
    <w:rsid w:val="004E6C8E"/>
    <w:rsid w:val="004E6DD4"/>
    <w:rsid w:val="004E7D43"/>
    <w:rsid w:val="004E7EF5"/>
    <w:rsid w:val="004F0F81"/>
    <w:rsid w:val="004F16D8"/>
    <w:rsid w:val="004F67E1"/>
    <w:rsid w:val="004F6907"/>
    <w:rsid w:val="004F7779"/>
    <w:rsid w:val="00500573"/>
    <w:rsid w:val="00501960"/>
    <w:rsid w:val="0050225F"/>
    <w:rsid w:val="00502D6A"/>
    <w:rsid w:val="00503B04"/>
    <w:rsid w:val="005048E7"/>
    <w:rsid w:val="00506FD5"/>
    <w:rsid w:val="005079AC"/>
    <w:rsid w:val="00510091"/>
    <w:rsid w:val="00511315"/>
    <w:rsid w:val="00511731"/>
    <w:rsid w:val="00511888"/>
    <w:rsid w:val="0051192E"/>
    <w:rsid w:val="00511A32"/>
    <w:rsid w:val="00511AD6"/>
    <w:rsid w:val="00513463"/>
    <w:rsid w:val="0051678E"/>
    <w:rsid w:val="00521E28"/>
    <w:rsid w:val="00522307"/>
    <w:rsid w:val="0052354A"/>
    <w:rsid w:val="005253AE"/>
    <w:rsid w:val="005253D6"/>
    <w:rsid w:val="00526AEE"/>
    <w:rsid w:val="005272CA"/>
    <w:rsid w:val="00527BDE"/>
    <w:rsid w:val="00530857"/>
    <w:rsid w:val="00530C09"/>
    <w:rsid w:val="0053110B"/>
    <w:rsid w:val="00532548"/>
    <w:rsid w:val="0053553B"/>
    <w:rsid w:val="0053627F"/>
    <w:rsid w:val="005365BA"/>
    <w:rsid w:val="00536BAF"/>
    <w:rsid w:val="005373C9"/>
    <w:rsid w:val="00537917"/>
    <w:rsid w:val="0053794C"/>
    <w:rsid w:val="00540097"/>
    <w:rsid w:val="005410C9"/>
    <w:rsid w:val="0054149A"/>
    <w:rsid w:val="00542290"/>
    <w:rsid w:val="00543EC9"/>
    <w:rsid w:val="00543F3B"/>
    <w:rsid w:val="00544214"/>
    <w:rsid w:val="005442E9"/>
    <w:rsid w:val="005459C0"/>
    <w:rsid w:val="00545ECC"/>
    <w:rsid w:val="00546A0C"/>
    <w:rsid w:val="00547999"/>
    <w:rsid w:val="005506E1"/>
    <w:rsid w:val="005508AE"/>
    <w:rsid w:val="00551A2C"/>
    <w:rsid w:val="005529BF"/>
    <w:rsid w:val="0055319F"/>
    <w:rsid w:val="00553DBF"/>
    <w:rsid w:val="005548F3"/>
    <w:rsid w:val="005568E0"/>
    <w:rsid w:val="00556981"/>
    <w:rsid w:val="0056043F"/>
    <w:rsid w:val="0056179B"/>
    <w:rsid w:val="00562D0E"/>
    <w:rsid w:val="00562D82"/>
    <w:rsid w:val="005646B7"/>
    <w:rsid w:val="00565CA7"/>
    <w:rsid w:val="00566DD9"/>
    <w:rsid w:val="00567FDF"/>
    <w:rsid w:val="0057069E"/>
    <w:rsid w:val="00572CE2"/>
    <w:rsid w:val="005739B5"/>
    <w:rsid w:val="00574A85"/>
    <w:rsid w:val="00575931"/>
    <w:rsid w:val="005775F4"/>
    <w:rsid w:val="0057765A"/>
    <w:rsid w:val="005776EF"/>
    <w:rsid w:val="005779E4"/>
    <w:rsid w:val="005809B2"/>
    <w:rsid w:val="00581CD9"/>
    <w:rsid w:val="00583BF2"/>
    <w:rsid w:val="00584896"/>
    <w:rsid w:val="005865AC"/>
    <w:rsid w:val="0058672D"/>
    <w:rsid w:val="00587AC2"/>
    <w:rsid w:val="00590103"/>
    <w:rsid w:val="00591AC3"/>
    <w:rsid w:val="00592370"/>
    <w:rsid w:val="005931B7"/>
    <w:rsid w:val="005957B0"/>
    <w:rsid w:val="005976F6"/>
    <w:rsid w:val="00597F08"/>
    <w:rsid w:val="005A0C87"/>
    <w:rsid w:val="005A1C6B"/>
    <w:rsid w:val="005A37D0"/>
    <w:rsid w:val="005A4A4D"/>
    <w:rsid w:val="005A624F"/>
    <w:rsid w:val="005A7621"/>
    <w:rsid w:val="005B03CC"/>
    <w:rsid w:val="005B0408"/>
    <w:rsid w:val="005B1A0C"/>
    <w:rsid w:val="005B3B18"/>
    <w:rsid w:val="005B4F03"/>
    <w:rsid w:val="005C0BB4"/>
    <w:rsid w:val="005C0F3D"/>
    <w:rsid w:val="005C42C6"/>
    <w:rsid w:val="005C5D64"/>
    <w:rsid w:val="005C5F12"/>
    <w:rsid w:val="005D198B"/>
    <w:rsid w:val="005D237C"/>
    <w:rsid w:val="005D23BF"/>
    <w:rsid w:val="005D2585"/>
    <w:rsid w:val="005D3647"/>
    <w:rsid w:val="005D3973"/>
    <w:rsid w:val="005D73E2"/>
    <w:rsid w:val="005E2E74"/>
    <w:rsid w:val="005E3F01"/>
    <w:rsid w:val="005E52A0"/>
    <w:rsid w:val="005E7F5A"/>
    <w:rsid w:val="005F1F44"/>
    <w:rsid w:val="005F3A11"/>
    <w:rsid w:val="005F6334"/>
    <w:rsid w:val="005F7DA4"/>
    <w:rsid w:val="00601D23"/>
    <w:rsid w:val="00601DB0"/>
    <w:rsid w:val="006022B5"/>
    <w:rsid w:val="006034C9"/>
    <w:rsid w:val="0060368F"/>
    <w:rsid w:val="0060379F"/>
    <w:rsid w:val="00605737"/>
    <w:rsid w:val="0060599B"/>
    <w:rsid w:val="00605F77"/>
    <w:rsid w:val="00606539"/>
    <w:rsid w:val="00610954"/>
    <w:rsid w:val="006118BA"/>
    <w:rsid w:val="006122E6"/>
    <w:rsid w:val="0061237A"/>
    <w:rsid w:val="006128B8"/>
    <w:rsid w:val="00613077"/>
    <w:rsid w:val="00613408"/>
    <w:rsid w:val="00613908"/>
    <w:rsid w:val="00614C44"/>
    <w:rsid w:val="00615B5E"/>
    <w:rsid w:val="00615E36"/>
    <w:rsid w:val="0061639E"/>
    <w:rsid w:val="0062039A"/>
    <w:rsid w:val="00621611"/>
    <w:rsid w:val="00622340"/>
    <w:rsid w:val="00622777"/>
    <w:rsid w:val="00623EDD"/>
    <w:rsid w:val="006252FA"/>
    <w:rsid w:val="00626084"/>
    <w:rsid w:val="00627F8D"/>
    <w:rsid w:val="00630CA2"/>
    <w:rsid w:val="006311AC"/>
    <w:rsid w:val="006312DE"/>
    <w:rsid w:val="00632A6F"/>
    <w:rsid w:val="0063392B"/>
    <w:rsid w:val="00634996"/>
    <w:rsid w:val="00635951"/>
    <w:rsid w:val="00637410"/>
    <w:rsid w:val="00642518"/>
    <w:rsid w:val="00643363"/>
    <w:rsid w:val="0064542D"/>
    <w:rsid w:val="00645685"/>
    <w:rsid w:val="00646DA5"/>
    <w:rsid w:val="006473E8"/>
    <w:rsid w:val="006534F7"/>
    <w:rsid w:val="0065441C"/>
    <w:rsid w:val="00654440"/>
    <w:rsid w:val="00654C4C"/>
    <w:rsid w:val="006555EB"/>
    <w:rsid w:val="0065564D"/>
    <w:rsid w:val="006574C7"/>
    <w:rsid w:val="0066026E"/>
    <w:rsid w:val="006606CB"/>
    <w:rsid w:val="00660B1D"/>
    <w:rsid w:val="00660B33"/>
    <w:rsid w:val="00660ED0"/>
    <w:rsid w:val="006615B9"/>
    <w:rsid w:val="0066218A"/>
    <w:rsid w:val="00663FF5"/>
    <w:rsid w:val="00664BDD"/>
    <w:rsid w:val="00664C6C"/>
    <w:rsid w:val="0066536E"/>
    <w:rsid w:val="00665A94"/>
    <w:rsid w:val="00667652"/>
    <w:rsid w:val="00667FDE"/>
    <w:rsid w:val="00671037"/>
    <w:rsid w:val="00677C73"/>
    <w:rsid w:val="00680058"/>
    <w:rsid w:val="00680F01"/>
    <w:rsid w:val="00681762"/>
    <w:rsid w:val="006827AF"/>
    <w:rsid w:val="00682F4A"/>
    <w:rsid w:val="00683880"/>
    <w:rsid w:val="0068391A"/>
    <w:rsid w:val="00686F66"/>
    <w:rsid w:val="00687DD2"/>
    <w:rsid w:val="00690722"/>
    <w:rsid w:val="00692F3F"/>
    <w:rsid w:val="006936B3"/>
    <w:rsid w:val="00695618"/>
    <w:rsid w:val="0069611F"/>
    <w:rsid w:val="00697FF0"/>
    <w:rsid w:val="006A032D"/>
    <w:rsid w:val="006A071F"/>
    <w:rsid w:val="006A0D0A"/>
    <w:rsid w:val="006A27D2"/>
    <w:rsid w:val="006A2E0E"/>
    <w:rsid w:val="006A3537"/>
    <w:rsid w:val="006A42C4"/>
    <w:rsid w:val="006A5A9F"/>
    <w:rsid w:val="006A6891"/>
    <w:rsid w:val="006A69F9"/>
    <w:rsid w:val="006A7B84"/>
    <w:rsid w:val="006B28CF"/>
    <w:rsid w:val="006B2A40"/>
    <w:rsid w:val="006B2FCD"/>
    <w:rsid w:val="006B3140"/>
    <w:rsid w:val="006B31EB"/>
    <w:rsid w:val="006B560F"/>
    <w:rsid w:val="006B5768"/>
    <w:rsid w:val="006C0587"/>
    <w:rsid w:val="006C06EF"/>
    <w:rsid w:val="006C0A53"/>
    <w:rsid w:val="006C32B3"/>
    <w:rsid w:val="006C3A2E"/>
    <w:rsid w:val="006C3EC4"/>
    <w:rsid w:val="006C467E"/>
    <w:rsid w:val="006C5870"/>
    <w:rsid w:val="006C5CC8"/>
    <w:rsid w:val="006C792E"/>
    <w:rsid w:val="006C7EE5"/>
    <w:rsid w:val="006D0454"/>
    <w:rsid w:val="006D1DF3"/>
    <w:rsid w:val="006D2431"/>
    <w:rsid w:val="006D3B70"/>
    <w:rsid w:val="006D4581"/>
    <w:rsid w:val="006D5C15"/>
    <w:rsid w:val="006D6C7B"/>
    <w:rsid w:val="006E1A21"/>
    <w:rsid w:val="006E2D57"/>
    <w:rsid w:val="006E39F9"/>
    <w:rsid w:val="006E795E"/>
    <w:rsid w:val="006F0031"/>
    <w:rsid w:val="006F0C7A"/>
    <w:rsid w:val="006F1969"/>
    <w:rsid w:val="006F1C01"/>
    <w:rsid w:val="006F2475"/>
    <w:rsid w:val="006F2E51"/>
    <w:rsid w:val="006F467C"/>
    <w:rsid w:val="006F59FB"/>
    <w:rsid w:val="006F74DF"/>
    <w:rsid w:val="006F79B7"/>
    <w:rsid w:val="006F7CD7"/>
    <w:rsid w:val="0070026F"/>
    <w:rsid w:val="0070059F"/>
    <w:rsid w:val="00702017"/>
    <w:rsid w:val="007029A6"/>
    <w:rsid w:val="00703436"/>
    <w:rsid w:val="00703901"/>
    <w:rsid w:val="007054C3"/>
    <w:rsid w:val="00706524"/>
    <w:rsid w:val="00706A0F"/>
    <w:rsid w:val="00706B96"/>
    <w:rsid w:val="00707C3A"/>
    <w:rsid w:val="007108B2"/>
    <w:rsid w:val="007124E1"/>
    <w:rsid w:val="007131DF"/>
    <w:rsid w:val="007138B7"/>
    <w:rsid w:val="00715B2D"/>
    <w:rsid w:val="00717CEE"/>
    <w:rsid w:val="00720486"/>
    <w:rsid w:val="00721032"/>
    <w:rsid w:val="00721402"/>
    <w:rsid w:val="007225D7"/>
    <w:rsid w:val="0072287D"/>
    <w:rsid w:val="0072505E"/>
    <w:rsid w:val="007301B3"/>
    <w:rsid w:val="00733E11"/>
    <w:rsid w:val="00735A5B"/>
    <w:rsid w:val="00740F4F"/>
    <w:rsid w:val="0074109B"/>
    <w:rsid w:val="00741CE7"/>
    <w:rsid w:val="00745C56"/>
    <w:rsid w:val="00752440"/>
    <w:rsid w:val="00752456"/>
    <w:rsid w:val="00753412"/>
    <w:rsid w:val="00753C4A"/>
    <w:rsid w:val="00753D43"/>
    <w:rsid w:val="00753E4C"/>
    <w:rsid w:val="0075621B"/>
    <w:rsid w:val="007606E9"/>
    <w:rsid w:val="007615FF"/>
    <w:rsid w:val="00762A4A"/>
    <w:rsid w:val="00763F0E"/>
    <w:rsid w:val="00764621"/>
    <w:rsid w:val="007667E9"/>
    <w:rsid w:val="007674BF"/>
    <w:rsid w:val="00770A28"/>
    <w:rsid w:val="00771FA4"/>
    <w:rsid w:val="0077238B"/>
    <w:rsid w:val="00772D98"/>
    <w:rsid w:val="007735BE"/>
    <w:rsid w:val="00774187"/>
    <w:rsid w:val="00780172"/>
    <w:rsid w:val="0078096A"/>
    <w:rsid w:val="007811C7"/>
    <w:rsid w:val="00782785"/>
    <w:rsid w:val="00782BCB"/>
    <w:rsid w:val="0078439F"/>
    <w:rsid w:val="00784A22"/>
    <w:rsid w:val="00785B3F"/>
    <w:rsid w:val="00790F6F"/>
    <w:rsid w:val="00792698"/>
    <w:rsid w:val="00793AED"/>
    <w:rsid w:val="00793D96"/>
    <w:rsid w:val="007945B7"/>
    <w:rsid w:val="00794731"/>
    <w:rsid w:val="00796448"/>
    <w:rsid w:val="00797FC2"/>
    <w:rsid w:val="007A0DAE"/>
    <w:rsid w:val="007A299C"/>
    <w:rsid w:val="007A5A0C"/>
    <w:rsid w:val="007A6063"/>
    <w:rsid w:val="007A646A"/>
    <w:rsid w:val="007A799C"/>
    <w:rsid w:val="007A7FB2"/>
    <w:rsid w:val="007B4B6C"/>
    <w:rsid w:val="007B5036"/>
    <w:rsid w:val="007B7A26"/>
    <w:rsid w:val="007B7E9B"/>
    <w:rsid w:val="007C016D"/>
    <w:rsid w:val="007C1957"/>
    <w:rsid w:val="007C1E8D"/>
    <w:rsid w:val="007C248B"/>
    <w:rsid w:val="007C40A5"/>
    <w:rsid w:val="007C5A0A"/>
    <w:rsid w:val="007C6C81"/>
    <w:rsid w:val="007C78AA"/>
    <w:rsid w:val="007D10B1"/>
    <w:rsid w:val="007D1166"/>
    <w:rsid w:val="007D3279"/>
    <w:rsid w:val="007D4D75"/>
    <w:rsid w:val="007D50AB"/>
    <w:rsid w:val="007E05E0"/>
    <w:rsid w:val="007E0864"/>
    <w:rsid w:val="007E1184"/>
    <w:rsid w:val="007E19C5"/>
    <w:rsid w:val="007E2FDD"/>
    <w:rsid w:val="007E5925"/>
    <w:rsid w:val="007E69A5"/>
    <w:rsid w:val="007F1CAD"/>
    <w:rsid w:val="007F2B60"/>
    <w:rsid w:val="007F35D6"/>
    <w:rsid w:val="007F3C59"/>
    <w:rsid w:val="007F3F53"/>
    <w:rsid w:val="007F47CF"/>
    <w:rsid w:val="007F4967"/>
    <w:rsid w:val="007F5FF6"/>
    <w:rsid w:val="007F6414"/>
    <w:rsid w:val="007F6791"/>
    <w:rsid w:val="00800FAE"/>
    <w:rsid w:val="00801326"/>
    <w:rsid w:val="00802158"/>
    <w:rsid w:val="0080218A"/>
    <w:rsid w:val="00802763"/>
    <w:rsid w:val="00803799"/>
    <w:rsid w:val="00804D6A"/>
    <w:rsid w:val="00805287"/>
    <w:rsid w:val="00805522"/>
    <w:rsid w:val="008062BF"/>
    <w:rsid w:val="00807D37"/>
    <w:rsid w:val="008110D7"/>
    <w:rsid w:val="0081153E"/>
    <w:rsid w:val="008119EA"/>
    <w:rsid w:val="00812BFB"/>
    <w:rsid w:val="0081330B"/>
    <w:rsid w:val="0081341B"/>
    <w:rsid w:val="00815445"/>
    <w:rsid w:val="008156BC"/>
    <w:rsid w:val="00820593"/>
    <w:rsid w:val="00820D70"/>
    <w:rsid w:val="00821BF1"/>
    <w:rsid w:val="00822734"/>
    <w:rsid w:val="00822B34"/>
    <w:rsid w:val="00823809"/>
    <w:rsid w:val="00825AAE"/>
    <w:rsid w:val="008307FC"/>
    <w:rsid w:val="008341BA"/>
    <w:rsid w:val="00834793"/>
    <w:rsid w:val="00834BE7"/>
    <w:rsid w:val="00842380"/>
    <w:rsid w:val="008424A7"/>
    <w:rsid w:val="00844F28"/>
    <w:rsid w:val="00846BA0"/>
    <w:rsid w:val="00846F71"/>
    <w:rsid w:val="00851D7E"/>
    <w:rsid w:val="00853D38"/>
    <w:rsid w:val="008543F4"/>
    <w:rsid w:val="00854590"/>
    <w:rsid w:val="00854B7B"/>
    <w:rsid w:val="00854DEF"/>
    <w:rsid w:val="00854EE4"/>
    <w:rsid w:val="00856AC4"/>
    <w:rsid w:val="00860D9F"/>
    <w:rsid w:val="00862119"/>
    <w:rsid w:val="00862BD1"/>
    <w:rsid w:val="008631C3"/>
    <w:rsid w:val="0086469D"/>
    <w:rsid w:val="00865199"/>
    <w:rsid w:val="0086665A"/>
    <w:rsid w:val="00866700"/>
    <w:rsid w:val="00870FDD"/>
    <w:rsid w:val="00873F6E"/>
    <w:rsid w:val="00874070"/>
    <w:rsid w:val="0087523A"/>
    <w:rsid w:val="008757E7"/>
    <w:rsid w:val="00875C7C"/>
    <w:rsid w:val="008762A0"/>
    <w:rsid w:val="0087677A"/>
    <w:rsid w:val="0088073A"/>
    <w:rsid w:val="00881168"/>
    <w:rsid w:val="0088201F"/>
    <w:rsid w:val="00882B4C"/>
    <w:rsid w:val="00882E19"/>
    <w:rsid w:val="008843F4"/>
    <w:rsid w:val="008849C7"/>
    <w:rsid w:val="0088618B"/>
    <w:rsid w:val="00893576"/>
    <w:rsid w:val="00893AEC"/>
    <w:rsid w:val="0089424C"/>
    <w:rsid w:val="0089431C"/>
    <w:rsid w:val="008958C1"/>
    <w:rsid w:val="008969E5"/>
    <w:rsid w:val="0089712A"/>
    <w:rsid w:val="008A0DD5"/>
    <w:rsid w:val="008A17D3"/>
    <w:rsid w:val="008A1D00"/>
    <w:rsid w:val="008A250A"/>
    <w:rsid w:val="008A4830"/>
    <w:rsid w:val="008A4BA7"/>
    <w:rsid w:val="008A56AB"/>
    <w:rsid w:val="008A6B71"/>
    <w:rsid w:val="008A6DC7"/>
    <w:rsid w:val="008A7930"/>
    <w:rsid w:val="008A7BCD"/>
    <w:rsid w:val="008B026E"/>
    <w:rsid w:val="008B0EEB"/>
    <w:rsid w:val="008B0F08"/>
    <w:rsid w:val="008B0F81"/>
    <w:rsid w:val="008B2B3A"/>
    <w:rsid w:val="008B2C21"/>
    <w:rsid w:val="008B3436"/>
    <w:rsid w:val="008B3543"/>
    <w:rsid w:val="008B4684"/>
    <w:rsid w:val="008B4FA0"/>
    <w:rsid w:val="008B6193"/>
    <w:rsid w:val="008B660B"/>
    <w:rsid w:val="008B7A50"/>
    <w:rsid w:val="008C0AA9"/>
    <w:rsid w:val="008C1794"/>
    <w:rsid w:val="008C1F2F"/>
    <w:rsid w:val="008C1FDB"/>
    <w:rsid w:val="008C4437"/>
    <w:rsid w:val="008C5C1D"/>
    <w:rsid w:val="008C6197"/>
    <w:rsid w:val="008C6DBE"/>
    <w:rsid w:val="008C7C8E"/>
    <w:rsid w:val="008D10F9"/>
    <w:rsid w:val="008D147D"/>
    <w:rsid w:val="008D23D3"/>
    <w:rsid w:val="008D48E5"/>
    <w:rsid w:val="008D4C5A"/>
    <w:rsid w:val="008D670C"/>
    <w:rsid w:val="008D6A93"/>
    <w:rsid w:val="008E27A3"/>
    <w:rsid w:val="008E33C4"/>
    <w:rsid w:val="008E361C"/>
    <w:rsid w:val="008E37C5"/>
    <w:rsid w:val="008E399F"/>
    <w:rsid w:val="008E60DF"/>
    <w:rsid w:val="008F31A4"/>
    <w:rsid w:val="008F373E"/>
    <w:rsid w:val="008F3B6D"/>
    <w:rsid w:val="008F3F8E"/>
    <w:rsid w:val="008F45B2"/>
    <w:rsid w:val="008F490F"/>
    <w:rsid w:val="008F53D7"/>
    <w:rsid w:val="008F5DC1"/>
    <w:rsid w:val="008F7531"/>
    <w:rsid w:val="00901733"/>
    <w:rsid w:val="009019CD"/>
    <w:rsid w:val="0090303A"/>
    <w:rsid w:val="00904D13"/>
    <w:rsid w:val="009060D9"/>
    <w:rsid w:val="00907BF0"/>
    <w:rsid w:val="009104D3"/>
    <w:rsid w:val="009106DB"/>
    <w:rsid w:val="009124C7"/>
    <w:rsid w:val="00912A41"/>
    <w:rsid w:val="00912FDB"/>
    <w:rsid w:val="009225A6"/>
    <w:rsid w:val="009259A0"/>
    <w:rsid w:val="00926C51"/>
    <w:rsid w:val="00927788"/>
    <w:rsid w:val="0093024B"/>
    <w:rsid w:val="00930A3A"/>
    <w:rsid w:val="0093161F"/>
    <w:rsid w:val="009345C7"/>
    <w:rsid w:val="00940AE2"/>
    <w:rsid w:val="00942172"/>
    <w:rsid w:val="00943B6D"/>
    <w:rsid w:val="0094746A"/>
    <w:rsid w:val="00950EBF"/>
    <w:rsid w:val="00951150"/>
    <w:rsid w:val="0095231B"/>
    <w:rsid w:val="00953755"/>
    <w:rsid w:val="00954130"/>
    <w:rsid w:val="009541D4"/>
    <w:rsid w:val="00955CBA"/>
    <w:rsid w:val="009615CC"/>
    <w:rsid w:val="00963C0E"/>
    <w:rsid w:val="00964659"/>
    <w:rsid w:val="009655C1"/>
    <w:rsid w:val="00965F79"/>
    <w:rsid w:val="009678D2"/>
    <w:rsid w:val="00970315"/>
    <w:rsid w:val="00970703"/>
    <w:rsid w:val="00970B45"/>
    <w:rsid w:val="00970DAA"/>
    <w:rsid w:val="00970FB3"/>
    <w:rsid w:val="00971195"/>
    <w:rsid w:val="0097174B"/>
    <w:rsid w:val="00973E37"/>
    <w:rsid w:val="009748EA"/>
    <w:rsid w:val="00974C1D"/>
    <w:rsid w:val="0097571B"/>
    <w:rsid w:val="009800E1"/>
    <w:rsid w:val="009800FC"/>
    <w:rsid w:val="0098223F"/>
    <w:rsid w:val="009829D7"/>
    <w:rsid w:val="00984828"/>
    <w:rsid w:val="009848B9"/>
    <w:rsid w:val="009858E4"/>
    <w:rsid w:val="00986189"/>
    <w:rsid w:val="009874C4"/>
    <w:rsid w:val="009877AD"/>
    <w:rsid w:val="009902C2"/>
    <w:rsid w:val="009913DF"/>
    <w:rsid w:val="0099271D"/>
    <w:rsid w:val="009950A5"/>
    <w:rsid w:val="009957AB"/>
    <w:rsid w:val="00995C53"/>
    <w:rsid w:val="00995C5E"/>
    <w:rsid w:val="009A1E29"/>
    <w:rsid w:val="009A25DD"/>
    <w:rsid w:val="009A2B7F"/>
    <w:rsid w:val="009A31C8"/>
    <w:rsid w:val="009A334D"/>
    <w:rsid w:val="009A36DE"/>
    <w:rsid w:val="009A3B08"/>
    <w:rsid w:val="009A3E0F"/>
    <w:rsid w:val="009A40AE"/>
    <w:rsid w:val="009A5C96"/>
    <w:rsid w:val="009A5E95"/>
    <w:rsid w:val="009A7FBB"/>
    <w:rsid w:val="009B0850"/>
    <w:rsid w:val="009B1172"/>
    <w:rsid w:val="009B16B9"/>
    <w:rsid w:val="009B1A4B"/>
    <w:rsid w:val="009B1E7D"/>
    <w:rsid w:val="009B2D16"/>
    <w:rsid w:val="009B3D8B"/>
    <w:rsid w:val="009B3E20"/>
    <w:rsid w:val="009B444A"/>
    <w:rsid w:val="009B44C1"/>
    <w:rsid w:val="009B45DD"/>
    <w:rsid w:val="009B49B8"/>
    <w:rsid w:val="009B4A9A"/>
    <w:rsid w:val="009B4B1F"/>
    <w:rsid w:val="009C0427"/>
    <w:rsid w:val="009C2210"/>
    <w:rsid w:val="009C2342"/>
    <w:rsid w:val="009C2574"/>
    <w:rsid w:val="009C33D8"/>
    <w:rsid w:val="009C3CE8"/>
    <w:rsid w:val="009C5037"/>
    <w:rsid w:val="009C681F"/>
    <w:rsid w:val="009D0F40"/>
    <w:rsid w:val="009D0FB8"/>
    <w:rsid w:val="009D1970"/>
    <w:rsid w:val="009D232E"/>
    <w:rsid w:val="009D58B1"/>
    <w:rsid w:val="009D5BB6"/>
    <w:rsid w:val="009D73E0"/>
    <w:rsid w:val="009D7698"/>
    <w:rsid w:val="009E0717"/>
    <w:rsid w:val="009E078A"/>
    <w:rsid w:val="009E164E"/>
    <w:rsid w:val="009E1DE7"/>
    <w:rsid w:val="009E319F"/>
    <w:rsid w:val="009F10BF"/>
    <w:rsid w:val="009F2201"/>
    <w:rsid w:val="009F2704"/>
    <w:rsid w:val="009F374A"/>
    <w:rsid w:val="009F4E73"/>
    <w:rsid w:val="009F5539"/>
    <w:rsid w:val="009F7574"/>
    <w:rsid w:val="009F7E9B"/>
    <w:rsid w:val="00A00A21"/>
    <w:rsid w:val="00A00DFC"/>
    <w:rsid w:val="00A01F58"/>
    <w:rsid w:val="00A026A3"/>
    <w:rsid w:val="00A036F8"/>
    <w:rsid w:val="00A04037"/>
    <w:rsid w:val="00A058BE"/>
    <w:rsid w:val="00A05A33"/>
    <w:rsid w:val="00A05D03"/>
    <w:rsid w:val="00A069E9"/>
    <w:rsid w:val="00A06F1D"/>
    <w:rsid w:val="00A07FC1"/>
    <w:rsid w:val="00A103B3"/>
    <w:rsid w:val="00A1181E"/>
    <w:rsid w:val="00A11F45"/>
    <w:rsid w:val="00A124B9"/>
    <w:rsid w:val="00A146A2"/>
    <w:rsid w:val="00A149B0"/>
    <w:rsid w:val="00A15127"/>
    <w:rsid w:val="00A20476"/>
    <w:rsid w:val="00A20DCA"/>
    <w:rsid w:val="00A21514"/>
    <w:rsid w:val="00A22097"/>
    <w:rsid w:val="00A22A7A"/>
    <w:rsid w:val="00A236A1"/>
    <w:rsid w:val="00A240F8"/>
    <w:rsid w:val="00A241D2"/>
    <w:rsid w:val="00A2493E"/>
    <w:rsid w:val="00A25184"/>
    <w:rsid w:val="00A25825"/>
    <w:rsid w:val="00A25900"/>
    <w:rsid w:val="00A25989"/>
    <w:rsid w:val="00A25D50"/>
    <w:rsid w:val="00A25F07"/>
    <w:rsid w:val="00A26B2B"/>
    <w:rsid w:val="00A271B2"/>
    <w:rsid w:val="00A2775B"/>
    <w:rsid w:val="00A27E17"/>
    <w:rsid w:val="00A3124A"/>
    <w:rsid w:val="00A32441"/>
    <w:rsid w:val="00A325F0"/>
    <w:rsid w:val="00A340A3"/>
    <w:rsid w:val="00A35093"/>
    <w:rsid w:val="00A356D6"/>
    <w:rsid w:val="00A36119"/>
    <w:rsid w:val="00A3662C"/>
    <w:rsid w:val="00A36754"/>
    <w:rsid w:val="00A40371"/>
    <w:rsid w:val="00A410EC"/>
    <w:rsid w:val="00A41641"/>
    <w:rsid w:val="00A41907"/>
    <w:rsid w:val="00A444DC"/>
    <w:rsid w:val="00A445B7"/>
    <w:rsid w:val="00A44EEA"/>
    <w:rsid w:val="00A44F2B"/>
    <w:rsid w:val="00A453B8"/>
    <w:rsid w:val="00A4568F"/>
    <w:rsid w:val="00A478E5"/>
    <w:rsid w:val="00A502C6"/>
    <w:rsid w:val="00A53148"/>
    <w:rsid w:val="00A53EC4"/>
    <w:rsid w:val="00A546D7"/>
    <w:rsid w:val="00A56FA4"/>
    <w:rsid w:val="00A6078F"/>
    <w:rsid w:val="00A6084B"/>
    <w:rsid w:val="00A6230C"/>
    <w:rsid w:val="00A62AB1"/>
    <w:rsid w:val="00A6357F"/>
    <w:rsid w:val="00A64D7E"/>
    <w:rsid w:val="00A65F08"/>
    <w:rsid w:val="00A67F55"/>
    <w:rsid w:val="00A70B26"/>
    <w:rsid w:val="00A715C4"/>
    <w:rsid w:val="00A7255E"/>
    <w:rsid w:val="00A7379D"/>
    <w:rsid w:val="00A73CE9"/>
    <w:rsid w:val="00A74D9E"/>
    <w:rsid w:val="00A752C6"/>
    <w:rsid w:val="00A812A3"/>
    <w:rsid w:val="00A81B38"/>
    <w:rsid w:val="00A8226D"/>
    <w:rsid w:val="00A84A3E"/>
    <w:rsid w:val="00A84EC4"/>
    <w:rsid w:val="00A85356"/>
    <w:rsid w:val="00A85D89"/>
    <w:rsid w:val="00A864DB"/>
    <w:rsid w:val="00A8753F"/>
    <w:rsid w:val="00A87A12"/>
    <w:rsid w:val="00A907C5"/>
    <w:rsid w:val="00A90D75"/>
    <w:rsid w:val="00A92892"/>
    <w:rsid w:val="00A935A4"/>
    <w:rsid w:val="00A9642C"/>
    <w:rsid w:val="00A9743F"/>
    <w:rsid w:val="00A97C12"/>
    <w:rsid w:val="00AA0074"/>
    <w:rsid w:val="00AA1400"/>
    <w:rsid w:val="00AA251C"/>
    <w:rsid w:val="00AA3845"/>
    <w:rsid w:val="00AA3A0B"/>
    <w:rsid w:val="00AA3C14"/>
    <w:rsid w:val="00AA49AE"/>
    <w:rsid w:val="00AA4B9A"/>
    <w:rsid w:val="00AA5B39"/>
    <w:rsid w:val="00AB07D3"/>
    <w:rsid w:val="00AB09A1"/>
    <w:rsid w:val="00AB0CE1"/>
    <w:rsid w:val="00AB318C"/>
    <w:rsid w:val="00AB7B4A"/>
    <w:rsid w:val="00AB7E54"/>
    <w:rsid w:val="00AC1893"/>
    <w:rsid w:val="00AC1980"/>
    <w:rsid w:val="00AC4020"/>
    <w:rsid w:val="00AC4AFF"/>
    <w:rsid w:val="00AC61E8"/>
    <w:rsid w:val="00AC6529"/>
    <w:rsid w:val="00AC6BF9"/>
    <w:rsid w:val="00AC76B3"/>
    <w:rsid w:val="00AD1125"/>
    <w:rsid w:val="00AD1B5F"/>
    <w:rsid w:val="00AD23A1"/>
    <w:rsid w:val="00AD270D"/>
    <w:rsid w:val="00AD2EEE"/>
    <w:rsid w:val="00AD2F52"/>
    <w:rsid w:val="00AD3AD3"/>
    <w:rsid w:val="00AD3C3F"/>
    <w:rsid w:val="00AD5CB2"/>
    <w:rsid w:val="00AD6649"/>
    <w:rsid w:val="00AD6CD4"/>
    <w:rsid w:val="00AE0819"/>
    <w:rsid w:val="00AE168C"/>
    <w:rsid w:val="00AE1A6B"/>
    <w:rsid w:val="00AE2300"/>
    <w:rsid w:val="00AE2EF3"/>
    <w:rsid w:val="00AE3D4E"/>
    <w:rsid w:val="00AE73AF"/>
    <w:rsid w:val="00AE7E00"/>
    <w:rsid w:val="00AF01D4"/>
    <w:rsid w:val="00AF07C6"/>
    <w:rsid w:val="00AF2745"/>
    <w:rsid w:val="00AF2AC3"/>
    <w:rsid w:val="00AF47CA"/>
    <w:rsid w:val="00AF4DEE"/>
    <w:rsid w:val="00AF7398"/>
    <w:rsid w:val="00AF742F"/>
    <w:rsid w:val="00AF778A"/>
    <w:rsid w:val="00AF7BDA"/>
    <w:rsid w:val="00B00398"/>
    <w:rsid w:val="00B0054E"/>
    <w:rsid w:val="00B0194D"/>
    <w:rsid w:val="00B01991"/>
    <w:rsid w:val="00B02498"/>
    <w:rsid w:val="00B024A0"/>
    <w:rsid w:val="00B0325E"/>
    <w:rsid w:val="00B03764"/>
    <w:rsid w:val="00B041D6"/>
    <w:rsid w:val="00B0559C"/>
    <w:rsid w:val="00B05E16"/>
    <w:rsid w:val="00B07F0C"/>
    <w:rsid w:val="00B10ED5"/>
    <w:rsid w:val="00B114E0"/>
    <w:rsid w:val="00B12992"/>
    <w:rsid w:val="00B1314A"/>
    <w:rsid w:val="00B158DA"/>
    <w:rsid w:val="00B16B81"/>
    <w:rsid w:val="00B20466"/>
    <w:rsid w:val="00B20ABF"/>
    <w:rsid w:val="00B21074"/>
    <w:rsid w:val="00B250B4"/>
    <w:rsid w:val="00B25D12"/>
    <w:rsid w:val="00B32739"/>
    <w:rsid w:val="00B3393C"/>
    <w:rsid w:val="00B348F1"/>
    <w:rsid w:val="00B3581E"/>
    <w:rsid w:val="00B36D57"/>
    <w:rsid w:val="00B36F03"/>
    <w:rsid w:val="00B37DD6"/>
    <w:rsid w:val="00B422A3"/>
    <w:rsid w:val="00B4319A"/>
    <w:rsid w:val="00B43ACC"/>
    <w:rsid w:val="00B440FA"/>
    <w:rsid w:val="00B505CF"/>
    <w:rsid w:val="00B52D68"/>
    <w:rsid w:val="00B53BDE"/>
    <w:rsid w:val="00B55A3A"/>
    <w:rsid w:val="00B55C59"/>
    <w:rsid w:val="00B57277"/>
    <w:rsid w:val="00B57377"/>
    <w:rsid w:val="00B577A0"/>
    <w:rsid w:val="00B602F5"/>
    <w:rsid w:val="00B62D1C"/>
    <w:rsid w:val="00B6335F"/>
    <w:rsid w:val="00B63DB7"/>
    <w:rsid w:val="00B63FCA"/>
    <w:rsid w:val="00B64F79"/>
    <w:rsid w:val="00B6555D"/>
    <w:rsid w:val="00B65A53"/>
    <w:rsid w:val="00B7467E"/>
    <w:rsid w:val="00B75803"/>
    <w:rsid w:val="00B76C68"/>
    <w:rsid w:val="00B77624"/>
    <w:rsid w:val="00B8025C"/>
    <w:rsid w:val="00B82842"/>
    <w:rsid w:val="00B83577"/>
    <w:rsid w:val="00B87534"/>
    <w:rsid w:val="00B87E0E"/>
    <w:rsid w:val="00B910AA"/>
    <w:rsid w:val="00B91592"/>
    <w:rsid w:val="00B9304D"/>
    <w:rsid w:val="00B95575"/>
    <w:rsid w:val="00B95E80"/>
    <w:rsid w:val="00BA236A"/>
    <w:rsid w:val="00BA2CBD"/>
    <w:rsid w:val="00BA426D"/>
    <w:rsid w:val="00BA51FD"/>
    <w:rsid w:val="00BA6A66"/>
    <w:rsid w:val="00BA6BBD"/>
    <w:rsid w:val="00BA7204"/>
    <w:rsid w:val="00BB0061"/>
    <w:rsid w:val="00BB0328"/>
    <w:rsid w:val="00BB0C68"/>
    <w:rsid w:val="00BB169E"/>
    <w:rsid w:val="00BB1B1D"/>
    <w:rsid w:val="00BB1E3C"/>
    <w:rsid w:val="00BB2A77"/>
    <w:rsid w:val="00BB2FE5"/>
    <w:rsid w:val="00BB4465"/>
    <w:rsid w:val="00BB5B94"/>
    <w:rsid w:val="00BB6D2E"/>
    <w:rsid w:val="00BB6F28"/>
    <w:rsid w:val="00BB7E5A"/>
    <w:rsid w:val="00BB7F68"/>
    <w:rsid w:val="00BC03E4"/>
    <w:rsid w:val="00BC1210"/>
    <w:rsid w:val="00BC3F8D"/>
    <w:rsid w:val="00BC4784"/>
    <w:rsid w:val="00BC4C3A"/>
    <w:rsid w:val="00BC6FDA"/>
    <w:rsid w:val="00BD068E"/>
    <w:rsid w:val="00BD2C36"/>
    <w:rsid w:val="00BD3E6B"/>
    <w:rsid w:val="00BD573B"/>
    <w:rsid w:val="00BD5CAA"/>
    <w:rsid w:val="00BD7B93"/>
    <w:rsid w:val="00BD7C27"/>
    <w:rsid w:val="00BE0F56"/>
    <w:rsid w:val="00BE1C62"/>
    <w:rsid w:val="00BE1D2D"/>
    <w:rsid w:val="00BE6139"/>
    <w:rsid w:val="00BE70B4"/>
    <w:rsid w:val="00BE7728"/>
    <w:rsid w:val="00BF020D"/>
    <w:rsid w:val="00BF31D0"/>
    <w:rsid w:val="00BF3A48"/>
    <w:rsid w:val="00BF42AB"/>
    <w:rsid w:val="00BF505D"/>
    <w:rsid w:val="00BF550E"/>
    <w:rsid w:val="00BF65EF"/>
    <w:rsid w:val="00C002A0"/>
    <w:rsid w:val="00C00464"/>
    <w:rsid w:val="00C018AE"/>
    <w:rsid w:val="00C019BF"/>
    <w:rsid w:val="00C041A8"/>
    <w:rsid w:val="00C0514F"/>
    <w:rsid w:val="00C05C1B"/>
    <w:rsid w:val="00C06C24"/>
    <w:rsid w:val="00C06E1F"/>
    <w:rsid w:val="00C06E3B"/>
    <w:rsid w:val="00C07337"/>
    <w:rsid w:val="00C079D2"/>
    <w:rsid w:val="00C103AB"/>
    <w:rsid w:val="00C10630"/>
    <w:rsid w:val="00C10CD6"/>
    <w:rsid w:val="00C110CF"/>
    <w:rsid w:val="00C12253"/>
    <w:rsid w:val="00C132DA"/>
    <w:rsid w:val="00C14B6E"/>
    <w:rsid w:val="00C14E49"/>
    <w:rsid w:val="00C162CA"/>
    <w:rsid w:val="00C17072"/>
    <w:rsid w:val="00C1757C"/>
    <w:rsid w:val="00C2226D"/>
    <w:rsid w:val="00C22CEC"/>
    <w:rsid w:val="00C22E1E"/>
    <w:rsid w:val="00C23975"/>
    <w:rsid w:val="00C23CC7"/>
    <w:rsid w:val="00C23CCE"/>
    <w:rsid w:val="00C2608B"/>
    <w:rsid w:val="00C30927"/>
    <w:rsid w:val="00C32080"/>
    <w:rsid w:val="00C325F8"/>
    <w:rsid w:val="00C3270B"/>
    <w:rsid w:val="00C33507"/>
    <w:rsid w:val="00C3584A"/>
    <w:rsid w:val="00C37138"/>
    <w:rsid w:val="00C37A40"/>
    <w:rsid w:val="00C40238"/>
    <w:rsid w:val="00C41094"/>
    <w:rsid w:val="00C413CD"/>
    <w:rsid w:val="00C41632"/>
    <w:rsid w:val="00C41664"/>
    <w:rsid w:val="00C43D18"/>
    <w:rsid w:val="00C444D7"/>
    <w:rsid w:val="00C4531B"/>
    <w:rsid w:val="00C45A5A"/>
    <w:rsid w:val="00C45BAA"/>
    <w:rsid w:val="00C47659"/>
    <w:rsid w:val="00C50C39"/>
    <w:rsid w:val="00C50F15"/>
    <w:rsid w:val="00C51914"/>
    <w:rsid w:val="00C51B28"/>
    <w:rsid w:val="00C524FA"/>
    <w:rsid w:val="00C52E03"/>
    <w:rsid w:val="00C53B4E"/>
    <w:rsid w:val="00C53C86"/>
    <w:rsid w:val="00C550B2"/>
    <w:rsid w:val="00C55836"/>
    <w:rsid w:val="00C57891"/>
    <w:rsid w:val="00C601FA"/>
    <w:rsid w:val="00C614EC"/>
    <w:rsid w:val="00C62441"/>
    <w:rsid w:val="00C624CE"/>
    <w:rsid w:val="00C647DA"/>
    <w:rsid w:val="00C65708"/>
    <w:rsid w:val="00C65CB4"/>
    <w:rsid w:val="00C66555"/>
    <w:rsid w:val="00C666AD"/>
    <w:rsid w:val="00C67A47"/>
    <w:rsid w:val="00C74160"/>
    <w:rsid w:val="00C76D8F"/>
    <w:rsid w:val="00C86279"/>
    <w:rsid w:val="00C86F7A"/>
    <w:rsid w:val="00C91C47"/>
    <w:rsid w:val="00C91D18"/>
    <w:rsid w:val="00C92A7D"/>
    <w:rsid w:val="00C94A65"/>
    <w:rsid w:val="00C95BA4"/>
    <w:rsid w:val="00C95FDE"/>
    <w:rsid w:val="00C96783"/>
    <w:rsid w:val="00CA05B0"/>
    <w:rsid w:val="00CA1A85"/>
    <w:rsid w:val="00CA1B59"/>
    <w:rsid w:val="00CA1DCD"/>
    <w:rsid w:val="00CA28D5"/>
    <w:rsid w:val="00CA29E4"/>
    <w:rsid w:val="00CA2A5C"/>
    <w:rsid w:val="00CA351D"/>
    <w:rsid w:val="00CA3F7B"/>
    <w:rsid w:val="00CA504C"/>
    <w:rsid w:val="00CA69B0"/>
    <w:rsid w:val="00CA6AC3"/>
    <w:rsid w:val="00CA6D1F"/>
    <w:rsid w:val="00CA73D8"/>
    <w:rsid w:val="00CA7E46"/>
    <w:rsid w:val="00CB01E0"/>
    <w:rsid w:val="00CB1153"/>
    <w:rsid w:val="00CB3CD4"/>
    <w:rsid w:val="00CB421C"/>
    <w:rsid w:val="00CB497A"/>
    <w:rsid w:val="00CB549F"/>
    <w:rsid w:val="00CB5744"/>
    <w:rsid w:val="00CB73B7"/>
    <w:rsid w:val="00CB7C5E"/>
    <w:rsid w:val="00CC1163"/>
    <w:rsid w:val="00CC23DD"/>
    <w:rsid w:val="00CC6EE7"/>
    <w:rsid w:val="00CC71AB"/>
    <w:rsid w:val="00CD3BD8"/>
    <w:rsid w:val="00CD7BB6"/>
    <w:rsid w:val="00CE0BAD"/>
    <w:rsid w:val="00CE2C98"/>
    <w:rsid w:val="00CE64EF"/>
    <w:rsid w:val="00CE676B"/>
    <w:rsid w:val="00CE6D1E"/>
    <w:rsid w:val="00CF02AF"/>
    <w:rsid w:val="00CF3651"/>
    <w:rsid w:val="00CF72AC"/>
    <w:rsid w:val="00D004F7"/>
    <w:rsid w:val="00D0142E"/>
    <w:rsid w:val="00D0556B"/>
    <w:rsid w:val="00D05F37"/>
    <w:rsid w:val="00D07BC8"/>
    <w:rsid w:val="00D11FBA"/>
    <w:rsid w:val="00D12754"/>
    <w:rsid w:val="00D12910"/>
    <w:rsid w:val="00D12C42"/>
    <w:rsid w:val="00D1539A"/>
    <w:rsid w:val="00D179C1"/>
    <w:rsid w:val="00D17FB5"/>
    <w:rsid w:val="00D202C1"/>
    <w:rsid w:val="00D207E2"/>
    <w:rsid w:val="00D21BC5"/>
    <w:rsid w:val="00D21D7D"/>
    <w:rsid w:val="00D23534"/>
    <w:rsid w:val="00D23DC1"/>
    <w:rsid w:val="00D254BC"/>
    <w:rsid w:val="00D25B55"/>
    <w:rsid w:val="00D27A10"/>
    <w:rsid w:val="00D3040E"/>
    <w:rsid w:val="00D30D2A"/>
    <w:rsid w:val="00D31BB8"/>
    <w:rsid w:val="00D32CBC"/>
    <w:rsid w:val="00D355FB"/>
    <w:rsid w:val="00D36793"/>
    <w:rsid w:val="00D36E5B"/>
    <w:rsid w:val="00D37670"/>
    <w:rsid w:val="00D400F4"/>
    <w:rsid w:val="00D40F32"/>
    <w:rsid w:val="00D43664"/>
    <w:rsid w:val="00D43693"/>
    <w:rsid w:val="00D43D6F"/>
    <w:rsid w:val="00D44342"/>
    <w:rsid w:val="00D44404"/>
    <w:rsid w:val="00D44421"/>
    <w:rsid w:val="00D44C78"/>
    <w:rsid w:val="00D51304"/>
    <w:rsid w:val="00D5203F"/>
    <w:rsid w:val="00D53D9D"/>
    <w:rsid w:val="00D53E21"/>
    <w:rsid w:val="00D55919"/>
    <w:rsid w:val="00D56022"/>
    <w:rsid w:val="00D56F33"/>
    <w:rsid w:val="00D5786C"/>
    <w:rsid w:val="00D57CAA"/>
    <w:rsid w:val="00D57FA3"/>
    <w:rsid w:val="00D63B62"/>
    <w:rsid w:val="00D64249"/>
    <w:rsid w:val="00D64A23"/>
    <w:rsid w:val="00D65802"/>
    <w:rsid w:val="00D67E3A"/>
    <w:rsid w:val="00D7024F"/>
    <w:rsid w:val="00D724A8"/>
    <w:rsid w:val="00D72622"/>
    <w:rsid w:val="00D7306C"/>
    <w:rsid w:val="00D741DA"/>
    <w:rsid w:val="00D74469"/>
    <w:rsid w:val="00D74EEA"/>
    <w:rsid w:val="00D75C9A"/>
    <w:rsid w:val="00D80FC9"/>
    <w:rsid w:val="00D8272C"/>
    <w:rsid w:val="00D8315F"/>
    <w:rsid w:val="00D846E7"/>
    <w:rsid w:val="00D84DE0"/>
    <w:rsid w:val="00D85347"/>
    <w:rsid w:val="00D86EEF"/>
    <w:rsid w:val="00D87639"/>
    <w:rsid w:val="00D9254D"/>
    <w:rsid w:val="00D92A8D"/>
    <w:rsid w:val="00D9315E"/>
    <w:rsid w:val="00D931E6"/>
    <w:rsid w:val="00D936D4"/>
    <w:rsid w:val="00D944EC"/>
    <w:rsid w:val="00D94E47"/>
    <w:rsid w:val="00D973EF"/>
    <w:rsid w:val="00D9744E"/>
    <w:rsid w:val="00D978BF"/>
    <w:rsid w:val="00D97969"/>
    <w:rsid w:val="00D97ED0"/>
    <w:rsid w:val="00DA25AE"/>
    <w:rsid w:val="00DA34CC"/>
    <w:rsid w:val="00DA38A0"/>
    <w:rsid w:val="00DA47F7"/>
    <w:rsid w:val="00DA7299"/>
    <w:rsid w:val="00DA7BF6"/>
    <w:rsid w:val="00DB0ACF"/>
    <w:rsid w:val="00DB0B69"/>
    <w:rsid w:val="00DB1D92"/>
    <w:rsid w:val="00DB29D4"/>
    <w:rsid w:val="00DB65FB"/>
    <w:rsid w:val="00DB6EBB"/>
    <w:rsid w:val="00DC04BF"/>
    <w:rsid w:val="00DC261A"/>
    <w:rsid w:val="00DC2F10"/>
    <w:rsid w:val="00DC2FC7"/>
    <w:rsid w:val="00DC54F5"/>
    <w:rsid w:val="00DC5B44"/>
    <w:rsid w:val="00DC7896"/>
    <w:rsid w:val="00DD2A3B"/>
    <w:rsid w:val="00DD3A04"/>
    <w:rsid w:val="00DD518F"/>
    <w:rsid w:val="00DD5B03"/>
    <w:rsid w:val="00DD6941"/>
    <w:rsid w:val="00DE0ABE"/>
    <w:rsid w:val="00DE14D4"/>
    <w:rsid w:val="00DE2357"/>
    <w:rsid w:val="00DE2559"/>
    <w:rsid w:val="00DE462B"/>
    <w:rsid w:val="00DE64E4"/>
    <w:rsid w:val="00DE68B3"/>
    <w:rsid w:val="00DE711F"/>
    <w:rsid w:val="00DF0467"/>
    <w:rsid w:val="00DF228F"/>
    <w:rsid w:val="00DF3391"/>
    <w:rsid w:val="00DF3802"/>
    <w:rsid w:val="00DF4CD3"/>
    <w:rsid w:val="00DF6E26"/>
    <w:rsid w:val="00DF7434"/>
    <w:rsid w:val="00DF7A1F"/>
    <w:rsid w:val="00E015D9"/>
    <w:rsid w:val="00E01ED3"/>
    <w:rsid w:val="00E02121"/>
    <w:rsid w:val="00E0245D"/>
    <w:rsid w:val="00E0304E"/>
    <w:rsid w:val="00E03D74"/>
    <w:rsid w:val="00E04DCC"/>
    <w:rsid w:val="00E04FA4"/>
    <w:rsid w:val="00E1058B"/>
    <w:rsid w:val="00E109CF"/>
    <w:rsid w:val="00E11B22"/>
    <w:rsid w:val="00E1238F"/>
    <w:rsid w:val="00E12D21"/>
    <w:rsid w:val="00E13AFF"/>
    <w:rsid w:val="00E13F1B"/>
    <w:rsid w:val="00E148B4"/>
    <w:rsid w:val="00E15282"/>
    <w:rsid w:val="00E15A9C"/>
    <w:rsid w:val="00E16180"/>
    <w:rsid w:val="00E1620F"/>
    <w:rsid w:val="00E162DC"/>
    <w:rsid w:val="00E17C27"/>
    <w:rsid w:val="00E17C9A"/>
    <w:rsid w:val="00E21877"/>
    <w:rsid w:val="00E21DA7"/>
    <w:rsid w:val="00E22140"/>
    <w:rsid w:val="00E25434"/>
    <w:rsid w:val="00E2588F"/>
    <w:rsid w:val="00E25B4F"/>
    <w:rsid w:val="00E264D5"/>
    <w:rsid w:val="00E30D5E"/>
    <w:rsid w:val="00E31D0E"/>
    <w:rsid w:val="00E32204"/>
    <w:rsid w:val="00E345B3"/>
    <w:rsid w:val="00E351B1"/>
    <w:rsid w:val="00E35999"/>
    <w:rsid w:val="00E35D65"/>
    <w:rsid w:val="00E37C1C"/>
    <w:rsid w:val="00E41956"/>
    <w:rsid w:val="00E4304D"/>
    <w:rsid w:val="00E43DC8"/>
    <w:rsid w:val="00E4426C"/>
    <w:rsid w:val="00E47D6D"/>
    <w:rsid w:val="00E5062C"/>
    <w:rsid w:val="00E51496"/>
    <w:rsid w:val="00E51F22"/>
    <w:rsid w:val="00E5261F"/>
    <w:rsid w:val="00E52A1A"/>
    <w:rsid w:val="00E54656"/>
    <w:rsid w:val="00E54F9A"/>
    <w:rsid w:val="00E560CF"/>
    <w:rsid w:val="00E5691A"/>
    <w:rsid w:val="00E57B98"/>
    <w:rsid w:val="00E57F7A"/>
    <w:rsid w:val="00E639A2"/>
    <w:rsid w:val="00E64057"/>
    <w:rsid w:val="00E64B81"/>
    <w:rsid w:val="00E64CB5"/>
    <w:rsid w:val="00E65A73"/>
    <w:rsid w:val="00E65E1E"/>
    <w:rsid w:val="00E66294"/>
    <w:rsid w:val="00E66444"/>
    <w:rsid w:val="00E72389"/>
    <w:rsid w:val="00E73B00"/>
    <w:rsid w:val="00E741A9"/>
    <w:rsid w:val="00E7426E"/>
    <w:rsid w:val="00E751F3"/>
    <w:rsid w:val="00E75D46"/>
    <w:rsid w:val="00E775E0"/>
    <w:rsid w:val="00E8067B"/>
    <w:rsid w:val="00E80B32"/>
    <w:rsid w:val="00E8285D"/>
    <w:rsid w:val="00E831E8"/>
    <w:rsid w:val="00E83B29"/>
    <w:rsid w:val="00E84FCE"/>
    <w:rsid w:val="00E87E55"/>
    <w:rsid w:val="00E905A2"/>
    <w:rsid w:val="00E92047"/>
    <w:rsid w:val="00E925B8"/>
    <w:rsid w:val="00E92C53"/>
    <w:rsid w:val="00E9325E"/>
    <w:rsid w:val="00E95DC1"/>
    <w:rsid w:val="00E96E14"/>
    <w:rsid w:val="00E976ED"/>
    <w:rsid w:val="00EA0F8E"/>
    <w:rsid w:val="00EA1EFD"/>
    <w:rsid w:val="00EA2B99"/>
    <w:rsid w:val="00EA463C"/>
    <w:rsid w:val="00EA5592"/>
    <w:rsid w:val="00EA5F8A"/>
    <w:rsid w:val="00EA60EA"/>
    <w:rsid w:val="00EA636B"/>
    <w:rsid w:val="00EA6564"/>
    <w:rsid w:val="00EA760A"/>
    <w:rsid w:val="00EB002C"/>
    <w:rsid w:val="00EB0285"/>
    <w:rsid w:val="00EB0DF9"/>
    <w:rsid w:val="00EB251A"/>
    <w:rsid w:val="00EB337B"/>
    <w:rsid w:val="00EB431E"/>
    <w:rsid w:val="00EB76D3"/>
    <w:rsid w:val="00EC12AC"/>
    <w:rsid w:val="00EC193F"/>
    <w:rsid w:val="00EC1BA5"/>
    <w:rsid w:val="00EC29ED"/>
    <w:rsid w:val="00EC4DD1"/>
    <w:rsid w:val="00ED0002"/>
    <w:rsid w:val="00ED07ED"/>
    <w:rsid w:val="00ED0D92"/>
    <w:rsid w:val="00ED0FEE"/>
    <w:rsid w:val="00ED289D"/>
    <w:rsid w:val="00ED52FC"/>
    <w:rsid w:val="00ED537F"/>
    <w:rsid w:val="00ED54EA"/>
    <w:rsid w:val="00EE1037"/>
    <w:rsid w:val="00EE350C"/>
    <w:rsid w:val="00EE4474"/>
    <w:rsid w:val="00EE7475"/>
    <w:rsid w:val="00EE791B"/>
    <w:rsid w:val="00EE7969"/>
    <w:rsid w:val="00EE7C92"/>
    <w:rsid w:val="00EE7E3E"/>
    <w:rsid w:val="00EF0310"/>
    <w:rsid w:val="00EF1A5E"/>
    <w:rsid w:val="00EF3478"/>
    <w:rsid w:val="00EF5086"/>
    <w:rsid w:val="00EF66BE"/>
    <w:rsid w:val="00EF7911"/>
    <w:rsid w:val="00F017FC"/>
    <w:rsid w:val="00F026DA"/>
    <w:rsid w:val="00F041AF"/>
    <w:rsid w:val="00F04848"/>
    <w:rsid w:val="00F05088"/>
    <w:rsid w:val="00F0600C"/>
    <w:rsid w:val="00F071BC"/>
    <w:rsid w:val="00F07284"/>
    <w:rsid w:val="00F07B3C"/>
    <w:rsid w:val="00F07D0A"/>
    <w:rsid w:val="00F10FC4"/>
    <w:rsid w:val="00F11624"/>
    <w:rsid w:val="00F128AF"/>
    <w:rsid w:val="00F1544F"/>
    <w:rsid w:val="00F15C90"/>
    <w:rsid w:val="00F16328"/>
    <w:rsid w:val="00F165BD"/>
    <w:rsid w:val="00F16AE0"/>
    <w:rsid w:val="00F1795F"/>
    <w:rsid w:val="00F20FBE"/>
    <w:rsid w:val="00F22822"/>
    <w:rsid w:val="00F22874"/>
    <w:rsid w:val="00F25268"/>
    <w:rsid w:val="00F268BB"/>
    <w:rsid w:val="00F270BE"/>
    <w:rsid w:val="00F304AC"/>
    <w:rsid w:val="00F3050A"/>
    <w:rsid w:val="00F31276"/>
    <w:rsid w:val="00F31EA4"/>
    <w:rsid w:val="00F33D9C"/>
    <w:rsid w:val="00F341C2"/>
    <w:rsid w:val="00F342DB"/>
    <w:rsid w:val="00F359D2"/>
    <w:rsid w:val="00F35EAA"/>
    <w:rsid w:val="00F36842"/>
    <w:rsid w:val="00F3691A"/>
    <w:rsid w:val="00F400A3"/>
    <w:rsid w:val="00F40F5D"/>
    <w:rsid w:val="00F423B6"/>
    <w:rsid w:val="00F427F9"/>
    <w:rsid w:val="00F429A0"/>
    <w:rsid w:val="00F42BEC"/>
    <w:rsid w:val="00F438ED"/>
    <w:rsid w:val="00F4713E"/>
    <w:rsid w:val="00F50604"/>
    <w:rsid w:val="00F50A2A"/>
    <w:rsid w:val="00F51F39"/>
    <w:rsid w:val="00F5349C"/>
    <w:rsid w:val="00F53DAB"/>
    <w:rsid w:val="00F5605E"/>
    <w:rsid w:val="00F60453"/>
    <w:rsid w:val="00F60AE1"/>
    <w:rsid w:val="00F61D86"/>
    <w:rsid w:val="00F62085"/>
    <w:rsid w:val="00F63556"/>
    <w:rsid w:val="00F6393A"/>
    <w:rsid w:val="00F6540A"/>
    <w:rsid w:val="00F703BA"/>
    <w:rsid w:val="00F72093"/>
    <w:rsid w:val="00F720FD"/>
    <w:rsid w:val="00F72561"/>
    <w:rsid w:val="00F726A2"/>
    <w:rsid w:val="00F727CC"/>
    <w:rsid w:val="00F73B90"/>
    <w:rsid w:val="00F75287"/>
    <w:rsid w:val="00F7567A"/>
    <w:rsid w:val="00F75B27"/>
    <w:rsid w:val="00F768B0"/>
    <w:rsid w:val="00F813F3"/>
    <w:rsid w:val="00F81B92"/>
    <w:rsid w:val="00F828BF"/>
    <w:rsid w:val="00F835AE"/>
    <w:rsid w:val="00F84C07"/>
    <w:rsid w:val="00F87287"/>
    <w:rsid w:val="00F87B7A"/>
    <w:rsid w:val="00F9012A"/>
    <w:rsid w:val="00F904D5"/>
    <w:rsid w:val="00F917A6"/>
    <w:rsid w:val="00F919DC"/>
    <w:rsid w:val="00F925AC"/>
    <w:rsid w:val="00F9401C"/>
    <w:rsid w:val="00F970D8"/>
    <w:rsid w:val="00F97B5F"/>
    <w:rsid w:val="00F97C20"/>
    <w:rsid w:val="00FA1F43"/>
    <w:rsid w:val="00FA3363"/>
    <w:rsid w:val="00FA378E"/>
    <w:rsid w:val="00FA475A"/>
    <w:rsid w:val="00FA691B"/>
    <w:rsid w:val="00FB2CE4"/>
    <w:rsid w:val="00FB3C9D"/>
    <w:rsid w:val="00FB3EF0"/>
    <w:rsid w:val="00FB62CF"/>
    <w:rsid w:val="00FC01BA"/>
    <w:rsid w:val="00FC07FE"/>
    <w:rsid w:val="00FC1485"/>
    <w:rsid w:val="00FC2320"/>
    <w:rsid w:val="00FC3162"/>
    <w:rsid w:val="00FC33C8"/>
    <w:rsid w:val="00FC36CA"/>
    <w:rsid w:val="00FC6C49"/>
    <w:rsid w:val="00FD06D2"/>
    <w:rsid w:val="00FD15B9"/>
    <w:rsid w:val="00FD1715"/>
    <w:rsid w:val="00FD216E"/>
    <w:rsid w:val="00FD3C31"/>
    <w:rsid w:val="00FD4049"/>
    <w:rsid w:val="00FD4279"/>
    <w:rsid w:val="00FD571C"/>
    <w:rsid w:val="00FE085C"/>
    <w:rsid w:val="00FE1D14"/>
    <w:rsid w:val="00FE2A77"/>
    <w:rsid w:val="00FE3C5D"/>
    <w:rsid w:val="00FE4754"/>
    <w:rsid w:val="00FE4BF9"/>
    <w:rsid w:val="00FE5449"/>
    <w:rsid w:val="00FE6A8C"/>
    <w:rsid w:val="00FE70C3"/>
    <w:rsid w:val="00FE73D3"/>
    <w:rsid w:val="00FE7628"/>
    <w:rsid w:val="00FF0502"/>
    <w:rsid w:val="00FF0BD3"/>
    <w:rsid w:val="00FF0F5B"/>
    <w:rsid w:val="00FF1129"/>
    <w:rsid w:val="00FF2AF9"/>
    <w:rsid w:val="00FF357D"/>
    <w:rsid w:val="00FF36F0"/>
    <w:rsid w:val="00FF41A0"/>
    <w:rsid w:val="00FF618A"/>
    <w:rsid w:val="00FF7685"/>
    <w:rsid w:val="00FF7BC0"/>
    <w:rsid w:val="00FF7EE2"/>
    <w:rsid w:val="01B67F13"/>
    <w:rsid w:val="05785F40"/>
    <w:rsid w:val="095B5128"/>
    <w:rsid w:val="0D154549"/>
    <w:rsid w:val="133860B5"/>
    <w:rsid w:val="183B40C1"/>
    <w:rsid w:val="1ACC527E"/>
    <w:rsid w:val="1BF450C1"/>
    <w:rsid w:val="1C4F3821"/>
    <w:rsid w:val="1F2F424B"/>
    <w:rsid w:val="20C7253E"/>
    <w:rsid w:val="227701ED"/>
    <w:rsid w:val="243F7C9C"/>
    <w:rsid w:val="24426122"/>
    <w:rsid w:val="25E025AD"/>
    <w:rsid w:val="282B0C73"/>
    <w:rsid w:val="2DA249B2"/>
    <w:rsid w:val="2E1C4E23"/>
    <w:rsid w:val="2E856C9B"/>
    <w:rsid w:val="2F460EC6"/>
    <w:rsid w:val="2FC2767C"/>
    <w:rsid w:val="32F86321"/>
    <w:rsid w:val="373B0AF2"/>
    <w:rsid w:val="3D8C7E3E"/>
    <w:rsid w:val="43706CF3"/>
    <w:rsid w:val="463A34AB"/>
    <w:rsid w:val="4AC779BE"/>
    <w:rsid w:val="4D5950A2"/>
    <w:rsid w:val="4FFA3743"/>
    <w:rsid w:val="50B34F13"/>
    <w:rsid w:val="51CD4943"/>
    <w:rsid w:val="523A3698"/>
    <w:rsid w:val="57461117"/>
    <w:rsid w:val="59D65D91"/>
    <w:rsid w:val="604E5A02"/>
    <w:rsid w:val="619F5CE3"/>
    <w:rsid w:val="65FC1E5C"/>
    <w:rsid w:val="662E2873"/>
    <w:rsid w:val="697B0271"/>
    <w:rsid w:val="6D65042E"/>
    <w:rsid w:val="6D883965"/>
    <w:rsid w:val="73581CF9"/>
    <w:rsid w:val="76383CCC"/>
    <w:rsid w:val="781C1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E14CD7"/>
  <w15:docId w15:val="{046BCE0F-AD52-4513-B449-038FB1CAA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iPriority="0"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pBdr>
        <w:top w:val="none" w:sz="0" w:space="0" w:color="000000"/>
        <w:left w:val="none" w:sz="0" w:space="0" w:color="000000"/>
        <w:bottom w:val="none" w:sz="0" w:space="0" w:color="000000"/>
        <w:right w:val="none" w:sz="0" w:space="0" w:color="000000"/>
        <w:between w:val="none" w:sz="0" w:space="0" w:color="000000"/>
      </w:pBdr>
      <w:spacing w:after="120"/>
      <w:jc w:val="both"/>
    </w:pPr>
    <w:rPr>
      <w:rFonts w:ascii="Arial" w:hAnsi="Arial"/>
      <w:szCs w:val="22"/>
      <w:lang w:val="en-GB"/>
    </w:rPr>
  </w:style>
  <w:style w:type="paragraph" w:styleId="1">
    <w:name w:val="heading 1"/>
    <w:next w:val="a0"/>
    <w:link w:val="10"/>
    <w:qFormat/>
    <w:pPr>
      <w:keepNext/>
      <w:keepLines/>
      <w:numPr>
        <w:numId w:val="1"/>
      </w:numPr>
      <w:pBdr>
        <w:top w:val="single" w:sz="12" w:space="3" w:color="auto"/>
        <w:left w:val="none" w:sz="0" w:space="0" w:color="000000"/>
        <w:bottom w:val="none" w:sz="0" w:space="0" w:color="000000"/>
        <w:right w:val="none" w:sz="0" w:space="0" w:color="000000"/>
        <w:between w:val="none" w:sz="0" w:space="0" w:color="000000"/>
      </w:pBdr>
      <w:spacing w:before="240" w:after="180"/>
      <w:outlineLvl w:val="0"/>
    </w:pPr>
    <w:rPr>
      <w:rFonts w:ascii="Arial" w:hAnsi="Arial"/>
      <w:sz w:val="36"/>
      <w:szCs w:val="36"/>
      <w:lang w:val="en-GB"/>
    </w:rPr>
  </w:style>
  <w:style w:type="paragraph" w:styleId="20">
    <w:name w:val="heading 2"/>
    <w:basedOn w:val="a0"/>
    <w:next w:val="a0"/>
    <w:link w:val="21"/>
    <w:qFormat/>
    <w:pPr>
      <w:numPr>
        <w:ilvl w:val="1"/>
        <w:numId w:val="1"/>
      </w:numPr>
      <w:pBdr>
        <w:top w:val="none" w:sz="0" w:space="0" w:color="auto"/>
      </w:pBdr>
      <w:tabs>
        <w:tab w:val="left" w:pos="432"/>
      </w:tabs>
      <w:spacing w:before="180"/>
      <w:outlineLvl w:val="1"/>
    </w:pPr>
    <w:rPr>
      <w:sz w:val="32"/>
      <w:szCs w:val="32"/>
    </w:rPr>
  </w:style>
  <w:style w:type="paragraph" w:styleId="30">
    <w:name w:val="heading 3"/>
    <w:basedOn w:val="a0"/>
    <w:next w:val="a0"/>
    <w:link w:val="31"/>
    <w:qFormat/>
    <w:pPr>
      <w:numPr>
        <w:ilvl w:val="2"/>
        <w:numId w:val="1"/>
      </w:numPr>
      <w:tabs>
        <w:tab w:val="clear" w:pos="4264"/>
        <w:tab w:val="left" w:pos="432"/>
        <w:tab w:val="left" w:pos="576"/>
        <w:tab w:val="left" w:pos="720"/>
      </w:tabs>
      <w:spacing w:before="120"/>
      <w:ind w:left="720"/>
      <w:outlineLvl w:val="2"/>
    </w:pPr>
    <w:rPr>
      <w:sz w:val="28"/>
      <w:szCs w:val="28"/>
    </w:rPr>
  </w:style>
  <w:style w:type="paragraph" w:styleId="4">
    <w:name w:val="heading 4"/>
    <w:basedOn w:val="30"/>
    <w:next w:val="a0"/>
    <w:link w:val="41"/>
    <w:qFormat/>
    <w:pPr>
      <w:numPr>
        <w:ilvl w:val="3"/>
      </w:numPr>
      <w:outlineLvl w:val="3"/>
    </w:pPr>
    <w:rPr>
      <w:sz w:val="24"/>
      <w:szCs w:val="24"/>
    </w:rPr>
  </w:style>
  <w:style w:type="paragraph" w:styleId="50">
    <w:name w:val="heading 5"/>
    <w:basedOn w:val="4"/>
    <w:next w:val="a0"/>
    <w:link w:val="51"/>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cs="Arial"/>
    </w:rPr>
  </w:style>
  <w:style w:type="paragraph" w:styleId="7">
    <w:name w:val="heading 7"/>
    <w:basedOn w:val="a0"/>
    <w:next w:val="a0"/>
    <w:link w:val="70"/>
    <w:qFormat/>
    <w:pPr>
      <w:keepNext/>
      <w:keepLines/>
      <w:numPr>
        <w:ilvl w:val="6"/>
        <w:numId w:val="1"/>
      </w:numPr>
      <w:spacing w:before="120"/>
      <w:outlineLvl w:val="6"/>
    </w:pPr>
    <w:rPr>
      <w:rFonts w:cs="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2"/>
    <w:qFormat/>
    <w:pPr>
      <w:ind w:left="1135"/>
    </w:pPr>
  </w:style>
  <w:style w:type="paragraph" w:styleId="22">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tabs>
        <w:tab w:val="right" w:pos="1701"/>
      </w:tabs>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szCs w:val="20"/>
    </w:rPr>
  </w:style>
  <w:style w:type="paragraph" w:styleId="TOC1">
    <w:name w:val="toc 1"/>
    <w:next w:val="a0"/>
    <w:uiPriority w:val="39"/>
    <w:qFormat/>
    <w:pPr>
      <w:keepNext/>
      <w:keepLines/>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before="120"/>
      <w:ind w:left="1701" w:hanging="1701"/>
    </w:pPr>
    <w:rPr>
      <w:rFonts w:ascii="Arial" w:hAnsi="Arial"/>
      <w:b/>
      <w:sz w:val="22"/>
      <w:szCs w:val="22"/>
    </w:rPr>
  </w:style>
  <w:style w:type="paragraph" w:styleId="23">
    <w:name w:val="List Number 2"/>
    <w:basedOn w:val="a8"/>
    <w:qFormat/>
    <w:pPr>
      <w:ind w:left="851"/>
    </w:pPr>
  </w:style>
  <w:style w:type="paragraph" w:styleId="a8">
    <w:name w:val="List Number"/>
    <w:basedOn w:val="a4"/>
    <w:qFormat/>
  </w:style>
  <w:style w:type="paragraph" w:styleId="40">
    <w:name w:val="List Bullet 4"/>
    <w:basedOn w:val="3"/>
    <w:qFormat/>
    <w:pPr>
      <w:numPr>
        <w:numId w:val="2"/>
      </w:numPr>
    </w:pPr>
  </w:style>
  <w:style w:type="paragraph" w:styleId="3">
    <w:name w:val="List Bullet 3"/>
    <w:basedOn w:val="2"/>
    <w:qFormat/>
    <w:pPr>
      <w:numPr>
        <w:numId w:val="3"/>
      </w:numPr>
    </w:pPr>
  </w:style>
  <w:style w:type="paragraph" w:styleId="2">
    <w:name w:val="List Bullet 2"/>
    <w:basedOn w:val="a"/>
    <w:qFormat/>
    <w:pPr>
      <w:numPr>
        <w:numId w:val="4"/>
      </w:numPr>
    </w:pPr>
  </w:style>
  <w:style w:type="paragraph" w:styleId="a">
    <w:name w:val="List Bullet"/>
    <w:basedOn w:val="a9"/>
    <w:qFormat/>
    <w:pPr>
      <w:numPr>
        <w:numId w:val="5"/>
      </w:numPr>
    </w:pPr>
  </w:style>
  <w:style w:type="paragraph" w:styleId="a9">
    <w:name w:val="Body Text"/>
    <w:basedOn w:val="a0"/>
    <w:link w:val="11"/>
    <w:qFormat/>
  </w:style>
  <w:style w:type="paragraph" w:styleId="aa">
    <w:name w:val="caption"/>
    <w:basedOn w:val="a0"/>
    <w:next w:val="a0"/>
    <w:qFormat/>
    <w:pPr>
      <w:spacing w:after="240"/>
      <w:jc w:val="center"/>
    </w:pPr>
    <w:rPr>
      <w:b/>
      <w:bCs/>
    </w:rPr>
  </w:style>
  <w:style w:type="paragraph" w:styleId="ab">
    <w:name w:val="Document Map"/>
    <w:basedOn w:val="a0"/>
    <w:semiHidden/>
    <w:qFormat/>
    <w:pPr>
      <w:shd w:val="clear" w:color="auto" w:fill="000080"/>
    </w:pPr>
    <w:rPr>
      <w:rFonts w:ascii="Tahoma" w:hAnsi="Tahoma" w:cs="Tahoma"/>
    </w:rPr>
  </w:style>
  <w:style w:type="paragraph" w:styleId="5">
    <w:name w:val="List Bullet 5"/>
    <w:basedOn w:val="40"/>
    <w:qFormat/>
    <w:pPr>
      <w:numPr>
        <w:numId w:val="6"/>
      </w:numPr>
    </w:pPr>
  </w:style>
  <w:style w:type="paragraph" w:styleId="TOC8">
    <w:name w:val="toc 8"/>
    <w:basedOn w:val="TOC1"/>
    <w:next w:val="a0"/>
    <w:semiHidden/>
    <w:qFormat/>
    <w:pPr>
      <w:spacing w:before="180"/>
      <w:ind w:left="2693" w:hanging="2693"/>
    </w:pPr>
    <w:rPr>
      <w:b w:val="0"/>
      <w:bCs/>
    </w:rPr>
  </w:style>
  <w:style w:type="paragraph" w:styleId="ac">
    <w:name w:val="endnote text"/>
    <w:basedOn w:val="a0"/>
    <w:link w:val="ad"/>
    <w:uiPriority w:val="99"/>
    <w:unhideWhenUsed/>
    <w:qFormat/>
    <w:pPr>
      <w:spacing w:after="0"/>
    </w:pPr>
  </w:style>
  <w:style w:type="paragraph" w:styleId="ae">
    <w:name w:val="Balloon Text"/>
    <w:basedOn w:val="a0"/>
    <w:semiHidden/>
    <w:qFormat/>
    <w:rPr>
      <w:rFonts w:ascii="Tahoma" w:hAnsi="Tahoma" w:cs="Tahoma"/>
      <w:sz w:val="16"/>
      <w:szCs w:val="16"/>
    </w:rPr>
  </w:style>
  <w:style w:type="paragraph" w:styleId="af">
    <w:name w:val="footer"/>
    <w:basedOn w:val="af0"/>
    <w:link w:val="af1"/>
    <w:uiPriority w:val="99"/>
    <w:qFormat/>
    <w:pPr>
      <w:jc w:val="center"/>
    </w:pPr>
    <w:rPr>
      <w:i/>
      <w:iCs/>
    </w:rPr>
  </w:style>
  <w:style w:type="paragraph" w:styleId="af0">
    <w:name w:val="header"/>
    <w:link w:val="af2"/>
    <w:qFormat/>
    <w:pPr>
      <w:widowControl w:val="0"/>
      <w:pBdr>
        <w:top w:val="none" w:sz="0" w:space="0" w:color="000000"/>
        <w:left w:val="none" w:sz="0" w:space="0" w:color="000000"/>
        <w:bottom w:val="none" w:sz="0" w:space="0" w:color="000000"/>
        <w:right w:val="none" w:sz="0" w:space="0" w:color="000000"/>
        <w:between w:val="none" w:sz="0" w:space="0" w:color="000000"/>
      </w:pBdr>
    </w:pPr>
    <w:rPr>
      <w:rFonts w:ascii="Arial" w:hAnsi="Arial"/>
      <w:b/>
      <w:bCs/>
      <w:sz w:val="18"/>
      <w:szCs w:val="18"/>
    </w:rPr>
  </w:style>
  <w:style w:type="paragraph" w:styleId="af3">
    <w:name w:val="Subtitle"/>
    <w:basedOn w:val="a0"/>
    <w:next w:val="a0"/>
    <w:link w:val="af4"/>
    <w:uiPriority w:val="11"/>
    <w:qFormat/>
    <w:pPr>
      <w:spacing w:before="200" w:after="200"/>
    </w:pPr>
    <w:rPr>
      <w:sz w:val="24"/>
      <w:szCs w:val="24"/>
    </w:rPr>
  </w:style>
  <w:style w:type="paragraph" w:styleId="af5">
    <w:name w:val="footnote text"/>
    <w:basedOn w:val="a0"/>
    <w:link w:val="af6"/>
    <w:semiHidden/>
    <w:qFormat/>
    <w:pPr>
      <w:keepLines/>
      <w:spacing w:after="0"/>
      <w:ind w:left="454" w:hanging="454"/>
    </w:pPr>
    <w:rPr>
      <w:sz w:val="16"/>
      <w:szCs w:val="16"/>
    </w:rPr>
  </w:style>
  <w:style w:type="paragraph" w:styleId="52">
    <w:name w:val="List 5"/>
    <w:basedOn w:val="42"/>
    <w:qFormat/>
    <w:pPr>
      <w:ind w:left="1702"/>
    </w:pPr>
  </w:style>
  <w:style w:type="paragraph" w:styleId="42">
    <w:name w:val="List 4"/>
    <w:basedOn w:val="32"/>
    <w:qFormat/>
    <w:pPr>
      <w:ind w:left="1418"/>
    </w:pPr>
  </w:style>
  <w:style w:type="paragraph" w:styleId="af7">
    <w:name w:val="table of figures"/>
    <w:basedOn w:val="a0"/>
    <w:next w:val="a0"/>
    <w:uiPriority w:val="99"/>
    <w:qFormat/>
    <w:pPr>
      <w:ind w:left="1418" w:hanging="1418"/>
      <w:jc w:val="left"/>
    </w:pPr>
    <w:rPr>
      <w:b/>
    </w:rPr>
  </w:style>
  <w:style w:type="paragraph" w:styleId="TOC9">
    <w:name w:val="toc 9"/>
    <w:basedOn w:val="TOC8"/>
    <w:next w:val="a0"/>
    <w:semiHidden/>
    <w:qFormat/>
    <w:pPr>
      <w:ind w:left="1418" w:hanging="1418"/>
    </w:pPr>
  </w:style>
  <w:style w:type="paragraph" w:styleId="af8">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paragraph" w:styleId="12">
    <w:name w:val="index 1"/>
    <w:basedOn w:val="a0"/>
    <w:next w:val="a0"/>
    <w:semiHidden/>
    <w:qFormat/>
    <w:pPr>
      <w:keepLines/>
      <w:spacing w:after="0"/>
    </w:pPr>
  </w:style>
  <w:style w:type="paragraph" w:styleId="24">
    <w:name w:val="index 2"/>
    <w:basedOn w:val="12"/>
    <w:next w:val="a0"/>
    <w:semiHidden/>
    <w:qFormat/>
    <w:pPr>
      <w:ind w:left="284"/>
    </w:pPr>
  </w:style>
  <w:style w:type="paragraph" w:styleId="af9">
    <w:name w:val="Title"/>
    <w:basedOn w:val="a0"/>
    <w:next w:val="a0"/>
    <w:link w:val="afa"/>
    <w:uiPriority w:val="10"/>
    <w:qFormat/>
    <w:pPr>
      <w:spacing w:before="300" w:after="200"/>
      <w:contextualSpacing/>
    </w:pPr>
    <w:rPr>
      <w:sz w:val="48"/>
      <w:szCs w:val="48"/>
    </w:rPr>
  </w:style>
  <w:style w:type="character" w:styleId="afb">
    <w:name w:val="Strong"/>
    <w:basedOn w:val="a1"/>
    <w:uiPriority w:val="22"/>
    <w:qFormat/>
    <w:rPr>
      <w:b/>
      <w:bCs/>
    </w:rPr>
  </w:style>
  <w:style w:type="character" w:styleId="afc">
    <w:name w:val="endnote reference"/>
    <w:basedOn w:val="a1"/>
    <w:uiPriority w:val="99"/>
    <w:unhideWhenUsed/>
    <w:qFormat/>
    <w:rPr>
      <w:vertAlign w:val="superscript"/>
    </w:rPr>
  </w:style>
  <w:style w:type="character" w:styleId="afd">
    <w:name w:val="page number"/>
    <w:basedOn w:val="a1"/>
    <w:semiHidden/>
    <w:qFormat/>
  </w:style>
  <w:style w:type="character" w:styleId="afe">
    <w:name w:val="FollowedHyperlink"/>
    <w:semiHidden/>
    <w:qFormat/>
    <w:rPr>
      <w:color w:val="FF0000"/>
      <w:u w:val="single"/>
    </w:rPr>
  </w:style>
  <w:style w:type="character" w:styleId="aff">
    <w:name w:val="Emphasis"/>
    <w:qFormat/>
    <w:rPr>
      <w:i/>
      <w:iCs/>
    </w:rPr>
  </w:style>
  <w:style w:type="character" w:styleId="aff0">
    <w:name w:val="Hyperlink"/>
    <w:uiPriority w:val="99"/>
    <w:qFormat/>
    <w:rPr>
      <w:color w:val="0000FF"/>
      <w:u w:val="single"/>
      <w:lang w:val="en-GB"/>
    </w:rPr>
  </w:style>
  <w:style w:type="character" w:styleId="aff1">
    <w:name w:val="annotation reference"/>
    <w:qFormat/>
    <w:rPr>
      <w:sz w:val="16"/>
      <w:szCs w:val="16"/>
    </w:rPr>
  </w:style>
  <w:style w:type="character" w:styleId="aff2">
    <w:name w:val="footnote reference"/>
    <w:semiHidden/>
    <w:qFormat/>
    <w:rPr>
      <w:b/>
      <w:bCs/>
      <w:position w:val="6"/>
      <w:sz w:val="16"/>
      <w:szCs w:val="16"/>
    </w:rPr>
  </w:style>
  <w:style w:type="table" w:styleId="aff3">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a1"/>
    <w:uiPriority w:val="9"/>
    <w:qFormat/>
    <w:rPr>
      <w:rFonts w:ascii="Arial" w:eastAsia="Arial" w:hAnsi="Arial" w:cs="Arial"/>
      <w:sz w:val="40"/>
      <w:szCs w:val="40"/>
    </w:rPr>
  </w:style>
  <w:style w:type="character" w:customStyle="1" w:styleId="Heading2Char">
    <w:name w:val="Heading 2 Char"/>
    <w:basedOn w:val="a1"/>
    <w:uiPriority w:val="9"/>
    <w:qFormat/>
    <w:rPr>
      <w:rFonts w:ascii="Arial" w:eastAsia="Arial" w:hAnsi="Arial" w:cs="Arial"/>
      <w:sz w:val="34"/>
    </w:rPr>
  </w:style>
  <w:style w:type="character" w:customStyle="1" w:styleId="Heading3Char">
    <w:name w:val="Heading 3 Char"/>
    <w:basedOn w:val="a1"/>
    <w:uiPriority w:val="9"/>
    <w:qFormat/>
    <w:rPr>
      <w:rFonts w:ascii="Arial" w:eastAsia="Arial" w:hAnsi="Arial" w:cs="Arial"/>
      <w:sz w:val="30"/>
      <w:szCs w:val="30"/>
    </w:rPr>
  </w:style>
  <w:style w:type="character" w:customStyle="1" w:styleId="41">
    <w:name w:val="标题 4 字符"/>
    <w:basedOn w:val="a1"/>
    <w:link w:val="4"/>
    <w:qFormat/>
    <w:rPr>
      <w:rFonts w:ascii="Arial" w:hAnsi="Arial"/>
      <w:sz w:val="24"/>
      <w:szCs w:val="24"/>
      <w:lang w:val="en-GB"/>
    </w:rPr>
  </w:style>
  <w:style w:type="character" w:customStyle="1" w:styleId="51">
    <w:name w:val="标题 5 字符"/>
    <w:basedOn w:val="a1"/>
    <w:link w:val="50"/>
    <w:qFormat/>
    <w:rPr>
      <w:rFonts w:ascii="Arial" w:hAnsi="Arial"/>
      <w:sz w:val="22"/>
      <w:lang w:val="en-GB"/>
    </w:rPr>
  </w:style>
  <w:style w:type="character" w:customStyle="1" w:styleId="60">
    <w:name w:val="标题 6 字符"/>
    <w:basedOn w:val="a1"/>
    <w:link w:val="6"/>
    <w:qFormat/>
    <w:rPr>
      <w:rFonts w:ascii="Arial" w:hAnsi="Arial" w:cs="Arial"/>
      <w:lang w:val="en-GB"/>
    </w:rPr>
  </w:style>
  <w:style w:type="character" w:customStyle="1" w:styleId="70">
    <w:name w:val="标题 7 字符"/>
    <w:basedOn w:val="a1"/>
    <w:link w:val="7"/>
    <w:qFormat/>
    <w:rPr>
      <w:rFonts w:ascii="Arial" w:hAnsi="Arial" w:cs="Arial"/>
      <w:lang w:val="en-GB"/>
    </w:rPr>
  </w:style>
  <w:style w:type="character" w:customStyle="1" w:styleId="80">
    <w:name w:val="标题 8 字符"/>
    <w:basedOn w:val="a1"/>
    <w:link w:val="8"/>
    <w:qFormat/>
    <w:rPr>
      <w:rFonts w:ascii="Arial" w:hAnsi="Arial" w:cs="Arial"/>
      <w:lang w:val="en-GB"/>
    </w:rPr>
  </w:style>
  <w:style w:type="character" w:customStyle="1" w:styleId="90">
    <w:name w:val="标题 9 字符"/>
    <w:basedOn w:val="a1"/>
    <w:link w:val="9"/>
    <w:qFormat/>
    <w:rPr>
      <w:rFonts w:ascii="Arial" w:hAnsi="Arial" w:cs="Arial"/>
      <w:lang w:val="en-GB"/>
    </w:rPr>
  </w:style>
  <w:style w:type="paragraph" w:customStyle="1" w:styleId="13">
    <w:name w:val="无间隔1"/>
    <w:uiPriority w:val="1"/>
    <w:qFormat/>
    <w:pPr>
      <w:pBdr>
        <w:top w:val="none" w:sz="0" w:space="0" w:color="000000"/>
        <w:left w:val="none" w:sz="0" w:space="0" w:color="000000"/>
        <w:bottom w:val="none" w:sz="0" w:space="0" w:color="000000"/>
        <w:right w:val="none" w:sz="0" w:space="0" w:color="000000"/>
        <w:between w:val="none" w:sz="0" w:space="0" w:color="000000"/>
      </w:pBdr>
    </w:pPr>
    <w:rPr>
      <w:szCs w:val="22"/>
    </w:rPr>
  </w:style>
  <w:style w:type="character" w:customStyle="1" w:styleId="afa">
    <w:name w:val="标题 字符"/>
    <w:basedOn w:val="a1"/>
    <w:link w:val="af9"/>
    <w:uiPriority w:val="10"/>
    <w:qFormat/>
    <w:rPr>
      <w:sz w:val="48"/>
      <w:szCs w:val="48"/>
    </w:rPr>
  </w:style>
  <w:style w:type="character" w:customStyle="1" w:styleId="af4">
    <w:name w:val="副标题 字符"/>
    <w:basedOn w:val="a1"/>
    <w:link w:val="af3"/>
    <w:uiPriority w:val="11"/>
    <w:qFormat/>
    <w:rPr>
      <w:sz w:val="24"/>
      <w:szCs w:val="24"/>
    </w:rPr>
  </w:style>
  <w:style w:type="paragraph" w:customStyle="1" w:styleId="14">
    <w:name w:val="引用1"/>
    <w:basedOn w:val="a0"/>
    <w:next w:val="a0"/>
    <w:link w:val="aff4"/>
    <w:uiPriority w:val="29"/>
    <w:qFormat/>
    <w:pPr>
      <w:ind w:left="720" w:right="720"/>
    </w:pPr>
    <w:rPr>
      <w:i/>
    </w:rPr>
  </w:style>
  <w:style w:type="character" w:customStyle="1" w:styleId="aff4">
    <w:name w:val="引用 字符"/>
    <w:link w:val="14"/>
    <w:uiPriority w:val="29"/>
    <w:qFormat/>
    <w:rPr>
      <w:i/>
    </w:rPr>
  </w:style>
  <w:style w:type="paragraph" w:customStyle="1" w:styleId="15">
    <w:name w:val="明显引用1"/>
    <w:basedOn w:val="a0"/>
    <w:next w:val="a0"/>
    <w:link w:val="aff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5">
    <w:name w:val="明显引用 字符"/>
    <w:link w:val="15"/>
    <w:uiPriority w:val="30"/>
    <w:qFormat/>
    <w:rPr>
      <w:i/>
    </w:rPr>
  </w:style>
  <w:style w:type="character" w:customStyle="1" w:styleId="HeaderChar">
    <w:name w:val="Header Char"/>
    <w:basedOn w:val="a1"/>
    <w:uiPriority w:val="99"/>
    <w:qFormat/>
  </w:style>
  <w:style w:type="character" w:customStyle="1" w:styleId="FooterChar">
    <w:name w:val="Footer Char"/>
    <w:basedOn w:val="a1"/>
    <w:uiPriority w:val="99"/>
    <w:qFormat/>
  </w:style>
  <w:style w:type="character" w:customStyle="1" w:styleId="CaptionChar">
    <w:name w:val="Caption Char"/>
    <w:uiPriority w:val="99"/>
    <w:qFormat/>
  </w:style>
  <w:style w:type="table" w:customStyle="1" w:styleId="TableGridLight">
    <w:name w:val="Table Grid Light"/>
    <w:basedOn w:val="a2"/>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无格式表格 11"/>
    <w:basedOn w:val="a2"/>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0">
    <w:name w:val="无格式表格 21"/>
    <w:basedOn w:val="a2"/>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无格式表格 31"/>
    <w:basedOn w:val="a2"/>
    <w:uiPriority w:val="99"/>
    <w:qFormat/>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410">
    <w:name w:val="无格式表格 41"/>
    <w:basedOn w:val="a2"/>
    <w:uiPriority w:val="99"/>
    <w:qFormat/>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510">
    <w:name w:val="无格式表格 51"/>
    <w:basedOn w:val="a2"/>
    <w:uiPriority w:val="99"/>
    <w:qFormat/>
    <w:tblPr/>
    <w:tblStylePr w:type="firstRow">
      <w:rPr>
        <w:i/>
        <w:color w:val="404040"/>
      </w:rPr>
      <w:tblPr/>
      <w:tcPr>
        <w:tcBorders>
          <w:left w:val="nil"/>
          <w:bottom w:val="single" w:sz="4" w:space="0" w:color="404040"/>
          <w:right w:val="nil"/>
        </w:tcBorders>
        <w:shd w:val="clear" w:color="auto" w:fill="FFFFFF"/>
      </w:tcPr>
    </w:tblStylePr>
    <w:tblStylePr w:type="lastRow">
      <w:rPr>
        <w:i/>
        <w:color w:val="404040"/>
      </w:rPr>
      <w:tblPr/>
      <w:tcPr>
        <w:tcBorders>
          <w:top w:val="single" w:sz="4" w:space="0" w:color="404040"/>
          <w:left w:val="nil"/>
          <w:right w:val="nil"/>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111">
    <w:name w:val="网格表 1 浅色1"/>
    <w:basedOn w:val="a2"/>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qFormat/>
    <w:tblPr>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qFormat/>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qFormat/>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1">
    <w:name w:val="网格表 21"/>
    <w:basedOn w:val="a2"/>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6A6A6A" w:themeColor="text1" w:themeTint="95"/>
          <w:right w:val="nil"/>
        </w:tcBorders>
        <w:shd w:val="clear" w:color="auto" w:fill="FFFFFF"/>
      </w:tcPr>
    </w:tblStylePr>
    <w:tblStylePr w:type="lastRow">
      <w:rPr>
        <w:b/>
        <w:color w:val="404040"/>
      </w:rPr>
      <w:tblPr/>
      <w:tcPr>
        <w:tcBorders>
          <w:top w:val="single" w:sz="4" w:space="0" w:color="6A6A6A" w:themeColor="text1" w:themeTint="95"/>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qFormat/>
    <w:tblPr>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il"/>
          <w:left w:val="nil"/>
          <w:bottom w:val="single" w:sz="12" w:space="0" w:color="537DC8" w:themeColor="accent1" w:themeTint="EA"/>
          <w:right w:val="nil"/>
        </w:tcBorders>
        <w:shd w:val="clear" w:color="auto" w:fill="FFFFFF"/>
      </w:tcPr>
    </w:tblStylePr>
    <w:tblStylePr w:type="lastRow">
      <w:rPr>
        <w:b/>
        <w:color w:val="404040"/>
      </w:rPr>
      <w:tblPr/>
      <w:tcPr>
        <w:tcBorders>
          <w:top w:val="single" w:sz="4" w:space="0" w:color="537DC8" w:themeColor="accent1" w:themeTint="EA"/>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single" w:sz="12" w:space="0" w:color="F4B184" w:themeColor="accent2" w:themeTint="97"/>
          <w:right w:val="nil"/>
        </w:tcBorders>
        <w:shd w:val="clear" w:color="auto" w:fill="FFFFFF"/>
      </w:tcPr>
    </w:tblStylePr>
    <w:tblStylePr w:type="lastRow">
      <w:rPr>
        <w:b/>
        <w:color w:val="404040"/>
      </w:rPr>
      <w:tblPr/>
      <w:tcPr>
        <w:tcBorders>
          <w:top w:val="single" w:sz="4" w:space="0" w:color="F4B184" w:themeColor="accent2" w:themeTint="97"/>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single" w:sz="12" w:space="0" w:color="A5A5A5" w:themeColor="accent3" w:themeTint="FE"/>
          <w:right w:val="nil"/>
        </w:tcBorders>
        <w:shd w:val="clear" w:color="auto" w:fill="FFFFFF"/>
      </w:tcPr>
    </w:tblStylePr>
    <w:tblStylePr w:type="lastRow">
      <w:rPr>
        <w:b/>
        <w:color w:val="404040"/>
      </w:rPr>
      <w:tblPr/>
      <w:tcPr>
        <w:tcBorders>
          <w:top w:val="single" w:sz="4" w:space="0" w:color="A5A5A5" w:themeColor="accent3" w:themeTint="FE"/>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single" w:sz="12" w:space="0" w:color="FFD865" w:themeColor="accent4" w:themeTint="9A"/>
          <w:right w:val="nil"/>
        </w:tcBorders>
        <w:shd w:val="clear" w:color="auto" w:fill="FFFFFF"/>
      </w:tcPr>
    </w:tblStylePr>
    <w:tblStylePr w:type="lastRow">
      <w:rPr>
        <w:b/>
        <w:color w:val="404040"/>
      </w:rPr>
      <w:tblPr/>
      <w:tcPr>
        <w:tcBorders>
          <w:top w:val="single" w:sz="4" w:space="0" w:color="FFD865" w:themeColor="accent4" w:themeTint="9A"/>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qFormat/>
    <w:tblPr>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il"/>
          <w:left w:val="nil"/>
          <w:bottom w:val="single" w:sz="12" w:space="0" w:color="5B9BD5" w:themeColor="accent5"/>
          <w:right w:val="nil"/>
        </w:tcBorders>
        <w:shd w:val="clear" w:color="auto" w:fill="FFFFFF"/>
      </w:tcPr>
    </w:tblStylePr>
    <w:tblStylePr w:type="lastRow">
      <w:rPr>
        <w:b/>
        <w:color w:val="404040"/>
      </w:rPr>
      <w:tblPr/>
      <w:tcPr>
        <w:tcBorders>
          <w:top w:val="single" w:sz="4" w:space="0" w:color="5B9BD5" w:themeColor="accent5"/>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single" w:sz="12" w:space="0" w:color="70AD47" w:themeColor="accent6"/>
          <w:right w:val="nil"/>
        </w:tcBorders>
        <w:shd w:val="clear" w:color="auto" w:fill="FFFFFF"/>
      </w:tcPr>
    </w:tblStylePr>
    <w:tblStylePr w:type="lastRow">
      <w:rPr>
        <w:b/>
        <w:color w:val="404040"/>
      </w:rPr>
      <w:tblPr/>
      <w:tcPr>
        <w:tcBorders>
          <w:top w:val="single" w:sz="4" w:space="0" w:color="70AD47" w:themeColor="accent6"/>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311">
    <w:name w:val="网格表 31"/>
    <w:basedOn w:val="a2"/>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qFormat/>
    <w:tblPr>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qFormat/>
    <w:tblPr>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411">
    <w:name w:val="网格表 41"/>
    <w:basedOn w:val="a2"/>
    <w:uiPriority w:val="59"/>
    <w:qFormat/>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qFormat/>
    <w:tblPr>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qFormat/>
    <w:tblPr>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511">
    <w:name w:val="网格表 5 深色1"/>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61">
    <w:name w:val="网格表 6 彩色1"/>
    <w:basedOn w:val="a2"/>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auto" w:fill="CBCBCB" w:themeFill="text1" w:themeFillTint="34"/>
      </w:tcPr>
    </w:tblStylePr>
    <w:tblStylePr w:type="band1Horz">
      <w:rPr>
        <w:rFonts w:ascii="Arial" w:hAnsi="Arial"/>
        <w:color w:val="7F7F7F" w:themeColor="text1" w:themeTint="80"/>
        <w:sz w:val="22"/>
      </w:rPr>
      <w:tblPr/>
      <w:tcPr>
        <w:shd w:val="clear" w:color="auto"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basedOn w:val="a2"/>
    <w:uiPriority w:val="99"/>
    <w:qFormat/>
    <w:tblPr>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rPr>
      <w:tblPr/>
      <w:tcPr>
        <w:tcBorders>
          <w:bottom w:val="single" w:sz="12" w:space="0" w:color="A0B7E1" w:themeColor="accent1" w:themeTint="80"/>
        </w:tcBorders>
      </w:tcPr>
    </w:tblStylePr>
    <w:tblStylePr w:type="lastRow">
      <w:rPr>
        <w:b/>
        <w:color w:val="A0B7E1" w:themeColor="accent1" w:themeTint="80"/>
      </w:rPr>
    </w:tblStylePr>
    <w:tblStylePr w:type="firstCol">
      <w:rPr>
        <w:b/>
        <w:color w:val="A0B7E1" w:themeColor="accent1" w:themeTint="80"/>
      </w:rPr>
    </w:tblStylePr>
    <w:tblStylePr w:type="lastCol">
      <w:rPr>
        <w:b/>
        <w:color w:val="A0B7E1" w:themeColor="accent1" w:themeTint="80"/>
      </w:rPr>
    </w:tblStylePr>
    <w:tblStylePr w:type="band1Vert">
      <w:tblPr/>
      <w:tcPr>
        <w:shd w:val="clear" w:color="auto" w:fill="D8E2F3" w:themeFill="accent1" w:themeFillTint="34"/>
      </w:tcPr>
    </w:tblStylePr>
    <w:tblStylePr w:type="band1Horz">
      <w:rPr>
        <w:rFonts w:ascii="Arial" w:hAnsi="Arial"/>
        <w:color w:val="A0B7E1" w:themeColor="accent1" w:themeTint="80"/>
        <w:sz w:val="22"/>
      </w:rPr>
      <w:tblPr/>
      <w:tcPr>
        <w:shd w:val="clear" w:color="auto" w:fill="D8E2F3" w:themeFill="accent1" w:themeFillTint="34"/>
      </w:tcPr>
    </w:tblStylePr>
    <w:tblStylePr w:type="band2Horz">
      <w:rPr>
        <w:rFonts w:ascii="Arial" w:hAnsi="Arial"/>
        <w:color w:val="A0B7E1" w:themeColor="accent1" w:themeTint="80"/>
        <w:sz w:val="22"/>
      </w:rPr>
    </w:tblStylePr>
  </w:style>
  <w:style w:type="table" w:customStyle="1" w:styleId="GridTable6Colorful-Accent2">
    <w:name w:val="Grid Table 6 Colorful - Accent 2"/>
    <w:basedOn w:val="a2"/>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285" w:themeColor="accent2" w:themeTint="96"/>
      </w:rPr>
      <w:tblPr/>
      <w:tcPr>
        <w:tcBorders>
          <w:bottom w:val="single" w:sz="12" w:space="0" w:color="F4B184" w:themeColor="accent2" w:themeTint="97"/>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blPr/>
      <w:tcPr>
        <w:shd w:val="clear" w:color="auto" w:fill="FBE5D6" w:themeFill="accent2" w:themeFillTint="32"/>
      </w:tcPr>
    </w:tblStylePr>
    <w:tblStylePr w:type="band1Horz">
      <w:rPr>
        <w:rFonts w:ascii="Arial" w:hAnsi="Arial"/>
        <w:color w:val="F4B285" w:themeColor="accent2" w:themeTint="96"/>
        <w:sz w:val="22"/>
      </w:rPr>
      <w:tblPr/>
      <w:tcPr>
        <w:shd w:val="clear" w:color="auto" w:fill="FBE5D6" w:themeFill="accent2" w:themeFillTint="32"/>
      </w:tcPr>
    </w:tblStylePr>
    <w:tblStylePr w:type="band2Horz">
      <w:rPr>
        <w:rFonts w:ascii="Arial" w:hAnsi="Arial"/>
        <w:color w:val="F4B285" w:themeColor="accent2" w:themeTint="96"/>
        <w:sz w:val="22"/>
      </w:rPr>
    </w:tblStylePr>
  </w:style>
  <w:style w:type="table" w:customStyle="1" w:styleId="GridTable6Colorful-Accent3">
    <w:name w:val="Grid Table 6 Colorful - Accent 3"/>
    <w:basedOn w:val="a2"/>
    <w:uiPriority w:val="99"/>
    <w:qFormat/>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rPr>
      <w:tblPr/>
      <w:tcPr>
        <w:tcBorders>
          <w:bottom w:val="single" w:sz="12" w:space="0" w:color="A5A5A5" w:themeColor="accent3" w:themeTint="FE"/>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blPr/>
      <w:tcPr>
        <w:shd w:val="clear" w:color="auto" w:fill="ECECEC" w:themeFill="accent3" w:themeFillTint="34"/>
      </w:tcPr>
    </w:tblStylePr>
    <w:tblStylePr w:type="band1Horz">
      <w:rPr>
        <w:rFonts w:ascii="Arial" w:hAnsi="Arial"/>
        <w:color w:val="A5A5A5" w:themeColor="accent3"/>
        <w:sz w:val="22"/>
      </w:rPr>
      <w:tblPr/>
      <w:tcPr>
        <w:shd w:val="clear" w:color="auto" w:fill="ECECEC" w:themeFill="accent3" w:themeFillTint="34"/>
      </w:tcPr>
    </w:tblStylePr>
    <w:tblStylePr w:type="band2Horz">
      <w:rPr>
        <w:rFonts w:ascii="Arial" w:hAnsi="Arial"/>
        <w:color w:val="A5A5A5" w:themeColor="accent3"/>
        <w:sz w:val="22"/>
      </w:rPr>
    </w:tblStylePr>
  </w:style>
  <w:style w:type="table" w:customStyle="1" w:styleId="GridTable6Colorful-Accent4">
    <w:name w:val="Grid Table 6 Colorful - Accent 4"/>
    <w:basedOn w:val="a2"/>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966" w:themeColor="accent4" w:themeTint="99"/>
      </w:rPr>
      <w:tblPr/>
      <w:tcPr>
        <w:tcBorders>
          <w:bottom w:val="single" w:sz="12" w:space="0" w:color="FFD865" w:themeColor="accent4" w:themeTint="9A"/>
        </w:tcBorders>
      </w:tcPr>
    </w:tblStylePr>
    <w:tblStylePr w:type="lastRow">
      <w:rPr>
        <w:b/>
        <w:color w:val="FFD966" w:themeColor="accent4" w:themeTint="99"/>
      </w:rPr>
    </w:tblStylePr>
    <w:tblStylePr w:type="firstCol">
      <w:rPr>
        <w:b/>
        <w:color w:val="FFD966" w:themeColor="accent4" w:themeTint="99"/>
      </w:rPr>
    </w:tblStylePr>
    <w:tblStylePr w:type="lastCol">
      <w:rPr>
        <w:b/>
        <w:color w:val="FFD966" w:themeColor="accent4" w:themeTint="99"/>
      </w:rPr>
    </w:tblStylePr>
    <w:tblStylePr w:type="band1Vert">
      <w:tblPr/>
      <w:tcPr>
        <w:shd w:val="clear" w:color="auto" w:fill="FFF2CB" w:themeFill="accent4" w:themeFillTint="34"/>
      </w:tcPr>
    </w:tblStylePr>
    <w:tblStylePr w:type="band1Horz">
      <w:rPr>
        <w:rFonts w:ascii="Arial" w:hAnsi="Arial"/>
        <w:color w:val="FFD966" w:themeColor="accent4" w:themeTint="99"/>
        <w:sz w:val="22"/>
      </w:rPr>
      <w:tblPr/>
      <w:tcPr>
        <w:shd w:val="clear" w:color="auto" w:fill="FFF2CB" w:themeFill="accent4" w:themeFillTint="34"/>
      </w:tcPr>
    </w:tblStylePr>
    <w:tblStylePr w:type="band2Horz">
      <w:rPr>
        <w:rFonts w:ascii="Arial" w:hAnsi="Arial"/>
        <w:color w:val="FFD966" w:themeColor="accent4" w:themeTint="99"/>
        <w:sz w:val="22"/>
      </w:rPr>
    </w:tblStylePr>
  </w:style>
  <w:style w:type="table" w:customStyle="1" w:styleId="GridTable6Colorful-Accent5">
    <w:name w:val="Grid Table 6 Colorful - Accent 5"/>
    <w:basedOn w:val="a2"/>
    <w:uiPriority w:val="99"/>
    <w:qFormat/>
    <w:tblPr>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C" w:themeColor="accent5" w:themeShade="94"/>
      </w:rPr>
      <w:tblPr/>
      <w:tcPr>
        <w:tcBorders>
          <w:bottom w:val="single" w:sz="12" w:space="0" w:color="5B9BD5" w:themeColor="accent5"/>
        </w:tcBorders>
      </w:tcPr>
    </w:tblStylePr>
    <w:tblStylePr w:type="lastRow">
      <w:rPr>
        <w:b/>
        <w:color w:val="245A8C" w:themeColor="accent5" w:themeShade="94"/>
      </w:rPr>
    </w:tblStylePr>
    <w:tblStylePr w:type="firstCol">
      <w:rPr>
        <w:b/>
        <w:color w:val="245A8C" w:themeColor="accent5" w:themeShade="94"/>
      </w:rPr>
    </w:tblStylePr>
    <w:tblStylePr w:type="lastCol">
      <w:rPr>
        <w:b/>
        <w:color w:val="245A8C" w:themeColor="accent5" w:themeShade="94"/>
      </w:rPr>
    </w:tblStylePr>
    <w:tblStylePr w:type="band1Vert">
      <w:tblPr/>
      <w:tcPr>
        <w:shd w:val="clear" w:color="auto" w:fill="DDEAF6" w:themeFill="accent5" w:themeFillTint="34"/>
      </w:tcPr>
    </w:tblStylePr>
    <w:tblStylePr w:type="band1Horz">
      <w:rPr>
        <w:rFonts w:ascii="Arial" w:hAnsi="Arial"/>
        <w:color w:val="245A8C" w:themeColor="accent5" w:themeShade="94"/>
        <w:sz w:val="22"/>
      </w:rPr>
      <w:tblPr/>
      <w:tcPr>
        <w:shd w:val="clear" w:color="auto" w:fill="DDEAF6" w:themeFill="accent5" w:themeFillTint="34"/>
      </w:tcPr>
    </w:tblStylePr>
    <w:tblStylePr w:type="band2Horz">
      <w:rPr>
        <w:rFonts w:ascii="Arial" w:hAnsi="Arial"/>
        <w:color w:val="245A8C" w:themeColor="accent5" w:themeShade="94"/>
        <w:sz w:val="22"/>
      </w:rPr>
    </w:tblStylePr>
  </w:style>
  <w:style w:type="table" w:customStyle="1" w:styleId="GridTable6Colorful-Accent6">
    <w:name w:val="Grid Table 6 Colorful - Accent 6"/>
    <w:basedOn w:val="a2"/>
    <w:uiPriority w:val="99"/>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C" w:themeColor="accent5" w:themeShade="94"/>
      </w:rPr>
      <w:tblPr/>
      <w:tcPr>
        <w:tcBorders>
          <w:bottom w:val="single" w:sz="12" w:space="0" w:color="70AD47" w:themeColor="accent6"/>
        </w:tcBorders>
      </w:tcPr>
    </w:tblStylePr>
    <w:tblStylePr w:type="lastRow">
      <w:rPr>
        <w:b/>
        <w:color w:val="245A8C" w:themeColor="accent5" w:themeShade="94"/>
      </w:rPr>
    </w:tblStylePr>
    <w:tblStylePr w:type="firstCol">
      <w:rPr>
        <w:b/>
        <w:color w:val="245A8C" w:themeColor="accent5" w:themeShade="94"/>
      </w:rPr>
    </w:tblStylePr>
    <w:tblStylePr w:type="lastCol">
      <w:rPr>
        <w:b/>
        <w:color w:val="245A8C" w:themeColor="accent5" w:themeShade="94"/>
      </w:rPr>
    </w:tblStylePr>
    <w:tblStylePr w:type="band1Vert">
      <w:tblPr/>
      <w:tcPr>
        <w:shd w:val="clear" w:color="auto" w:fill="E1EFD8" w:themeFill="accent6" w:themeFillTint="34"/>
      </w:tcPr>
    </w:tblStylePr>
    <w:tblStylePr w:type="band1Horz">
      <w:rPr>
        <w:rFonts w:ascii="Arial" w:hAnsi="Arial"/>
        <w:color w:val="245A8C" w:themeColor="accent5" w:themeShade="94"/>
        <w:sz w:val="22"/>
      </w:rPr>
      <w:tblPr/>
      <w:tcPr>
        <w:shd w:val="clear" w:color="auto" w:fill="E1EFD8" w:themeFill="accent6" w:themeFillTint="34"/>
      </w:tcPr>
    </w:tblStylePr>
    <w:tblStylePr w:type="band2Horz">
      <w:rPr>
        <w:rFonts w:ascii="Arial" w:hAnsi="Arial"/>
        <w:color w:val="245A8C" w:themeColor="accent5" w:themeShade="94"/>
        <w:sz w:val="22"/>
      </w:rPr>
    </w:tblStylePr>
  </w:style>
  <w:style w:type="table" w:customStyle="1" w:styleId="71">
    <w:name w:val="网格表 7 彩色1"/>
    <w:basedOn w:val="a2"/>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auto"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auto"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auto" w:fill="FFFFFF"/>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sz w:val="22"/>
      </w:rPr>
      <w:tblPr/>
      <w:tcPr>
        <w:shd w:val="clear" w:color="auto"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basedOn w:val="a2"/>
    <w:uiPriority w:val="99"/>
    <w:qFormat/>
    <w:tblPr>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sz w:val="22"/>
      </w:rPr>
      <w:tblPr/>
      <w:tcPr>
        <w:tcBorders>
          <w:top w:val="nil"/>
          <w:left w:val="nil"/>
          <w:bottom w:val="single" w:sz="4" w:space="0" w:color="A0B7E1" w:themeColor="accent1" w:themeTint="80"/>
          <w:right w:val="nil"/>
        </w:tcBorders>
        <w:shd w:val="clear" w:color="auto" w:fill="FFFFFF" w:themeFill="light1"/>
      </w:tcPr>
    </w:tblStylePr>
    <w:tblStylePr w:type="lastRow">
      <w:rPr>
        <w:rFonts w:ascii="Arial" w:hAnsi="Arial"/>
        <w:b/>
        <w:color w:val="A0B7E1" w:themeColor="accent1" w:themeTint="80"/>
        <w:sz w:val="22"/>
      </w:rPr>
      <w:tblPr/>
      <w:tcPr>
        <w:tcBorders>
          <w:top w:val="single" w:sz="4" w:space="0" w:color="A0B7E1" w:themeColor="accent1" w:themeTint="80"/>
          <w:left w:val="nil"/>
          <w:bottom w:val="nil"/>
          <w:right w:val="nil"/>
        </w:tcBorders>
        <w:shd w:val="clear" w:color="auto" w:fill="FFFFFF" w:themeFill="light1"/>
      </w:tcPr>
    </w:tblStylePr>
    <w:tblStylePr w:type="firstCol">
      <w:pPr>
        <w:jc w:val="right"/>
      </w:pPr>
      <w:rPr>
        <w:rFonts w:ascii="Arial" w:hAnsi="Arial"/>
        <w:i/>
        <w:color w:val="A0B7E1" w:themeColor="accent1" w:themeTint="80"/>
        <w:sz w:val="22"/>
      </w:rPr>
      <w:tblPr/>
      <w:tcPr>
        <w:tcBorders>
          <w:top w:val="nil"/>
          <w:left w:val="nil"/>
          <w:bottom w:val="nil"/>
          <w:right w:val="single" w:sz="4" w:space="0" w:color="A0B7E1" w:themeColor="accent1" w:themeTint="80"/>
        </w:tcBorders>
        <w:shd w:val="clear" w:color="auto" w:fill="FFFFFF"/>
      </w:tcPr>
    </w:tblStylePr>
    <w:tblStylePr w:type="lastCol">
      <w:rPr>
        <w:rFonts w:ascii="Arial" w:hAnsi="Arial"/>
        <w:i/>
        <w:color w:val="A0B7E1" w:themeColor="accent1" w:themeTint="80"/>
        <w:sz w:val="22"/>
      </w:rPr>
      <w:tblPr/>
      <w:tcPr>
        <w:tcBorders>
          <w:top w:val="nil"/>
          <w:left w:val="single" w:sz="4" w:space="0" w:color="A0B7E1" w:themeColor="accent1" w:themeTint="80"/>
          <w:bottom w:val="nil"/>
          <w:right w:val="nil"/>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sz w:val="22"/>
      </w:rPr>
      <w:tblPr/>
      <w:tcPr>
        <w:shd w:val="clear" w:color="auto" w:fill="D8E2F3" w:themeFill="accent1" w:themeFillTint="34"/>
      </w:tcPr>
    </w:tblStylePr>
    <w:tblStylePr w:type="band2Horz">
      <w:rPr>
        <w:rFonts w:ascii="Arial" w:hAnsi="Arial"/>
        <w:color w:val="A0B7E1" w:themeColor="accent1" w:themeTint="80"/>
        <w:sz w:val="22"/>
      </w:rPr>
    </w:tblStylePr>
  </w:style>
  <w:style w:type="table" w:customStyle="1" w:styleId="GridTable7Colorful-Accent2">
    <w:name w:val="Grid Table 7 Colorful - Accent 2"/>
    <w:basedOn w:val="a2"/>
    <w:uiPriority w:val="99"/>
    <w:qFormat/>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285" w:themeColor="accent2" w:themeTint="96"/>
        <w:sz w:val="22"/>
      </w:rPr>
      <w:tblPr/>
      <w:tcPr>
        <w:tcBorders>
          <w:top w:val="nil"/>
          <w:left w:val="nil"/>
          <w:bottom w:val="single" w:sz="4" w:space="0" w:color="F4B184" w:themeColor="accent2" w:themeTint="97"/>
          <w:right w:val="nil"/>
        </w:tcBorders>
        <w:shd w:val="clear" w:color="auto" w:fill="FFFFFF" w:themeFill="light1"/>
      </w:tcPr>
    </w:tblStylePr>
    <w:tblStylePr w:type="lastRow">
      <w:rPr>
        <w:rFonts w:ascii="Arial" w:hAnsi="Arial"/>
        <w:b/>
        <w:color w:val="F4B285" w:themeColor="accent2" w:themeTint="96"/>
        <w:sz w:val="22"/>
      </w:rPr>
      <w:tblPr/>
      <w:tcPr>
        <w:tcBorders>
          <w:top w:val="single" w:sz="4" w:space="0" w:color="F4B184" w:themeColor="accent2" w:themeTint="97"/>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auto" w:fill="FFFFFF"/>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auto" w:fill="FFFFFF"/>
      </w:tcPr>
    </w:tblStylePr>
    <w:tblStylePr w:type="band1Vert">
      <w:tblPr/>
      <w:tcPr>
        <w:shd w:val="clear" w:color="auto" w:fill="FBE5D6" w:themeFill="accent2" w:themeFillTint="32"/>
      </w:tcPr>
    </w:tblStylePr>
    <w:tblStylePr w:type="band1Horz">
      <w:rPr>
        <w:rFonts w:ascii="Arial" w:hAnsi="Arial"/>
        <w:color w:val="F4B285" w:themeColor="accent2" w:themeTint="96"/>
        <w:sz w:val="22"/>
      </w:rPr>
      <w:tblPr/>
      <w:tcPr>
        <w:shd w:val="clear" w:color="auto" w:fill="FBE5D6" w:themeFill="accent2" w:themeFillTint="32"/>
      </w:tcPr>
    </w:tblStylePr>
    <w:tblStylePr w:type="band2Horz">
      <w:rPr>
        <w:rFonts w:ascii="Arial" w:hAnsi="Arial"/>
        <w:color w:val="F4B285" w:themeColor="accent2" w:themeTint="96"/>
        <w:sz w:val="22"/>
      </w:rPr>
    </w:tblStylePr>
  </w:style>
  <w:style w:type="table" w:customStyle="1" w:styleId="GridTable7Colorful-Accent3">
    <w:name w:val="Grid Table 7 Colorful - Accent 3"/>
    <w:basedOn w:val="a2"/>
    <w:uiPriority w:val="99"/>
    <w:qFormat/>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sz w:val="22"/>
      </w:rPr>
      <w:tblPr/>
      <w:tcPr>
        <w:tcBorders>
          <w:top w:val="nil"/>
          <w:left w:val="nil"/>
          <w:bottom w:val="single" w:sz="4" w:space="0" w:color="A5A5A5" w:themeColor="accent3" w:themeTint="FE"/>
          <w:right w:val="nil"/>
        </w:tcBorders>
        <w:shd w:val="clear" w:color="auto" w:fill="FFFFFF" w:themeFill="light1"/>
      </w:tcPr>
    </w:tblStylePr>
    <w:tblStylePr w:type="lastRow">
      <w:rPr>
        <w:rFonts w:ascii="Arial" w:hAnsi="Arial"/>
        <w:b/>
        <w:color w:val="A5A5A5" w:themeColor="accent3"/>
        <w:sz w:val="22"/>
      </w:rPr>
      <w:tblPr/>
      <w:tcPr>
        <w:tcBorders>
          <w:top w:val="single" w:sz="4" w:space="0" w:color="A5A5A5" w:themeColor="accent3" w:themeTint="FE"/>
          <w:left w:val="nil"/>
          <w:bottom w:val="nil"/>
          <w:right w:val="nil"/>
        </w:tcBorders>
        <w:shd w:val="clear" w:color="auto" w:fill="FFFFFF" w:themeFill="light1"/>
      </w:tcPr>
    </w:tblStylePr>
    <w:tblStylePr w:type="firstCol">
      <w:pPr>
        <w:jc w:val="right"/>
      </w:pPr>
      <w:rPr>
        <w:rFonts w:ascii="Arial" w:hAnsi="Arial"/>
        <w:i/>
        <w:color w:val="A5A5A5" w:themeColor="accent3"/>
        <w:sz w:val="22"/>
      </w:rPr>
      <w:tblPr/>
      <w:tcPr>
        <w:tcBorders>
          <w:top w:val="nil"/>
          <w:left w:val="nil"/>
          <w:bottom w:val="nil"/>
          <w:right w:val="single" w:sz="4" w:space="0" w:color="A5A5A5" w:themeColor="accent3" w:themeTint="FE"/>
        </w:tcBorders>
        <w:shd w:val="clear" w:color="auto" w:fill="FFFFFF"/>
      </w:tcPr>
    </w:tblStylePr>
    <w:tblStylePr w:type="lastCol">
      <w:rPr>
        <w:rFonts w:ascii="Arial" w:hAnsi="Arial"/>
        <w:i/>
        <w:color w:val="A5A5A5" w:themeColor="accent3"/>
        <w:sz w:val="22"/>
      </w:rPr>
      <w:tblPr/>
      <w:tcPr>
        <w:tcBorders>
          <w:top w:val="nil"/>
          <w:left w:val="single" w:sz="4" w:space="0" w:color="A5A5A5" w:themeColor="accent3" w:themeTint="FE"/>
          <w:bottom w:val="nil"/>
          <w:right w:val="nil"/>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sz w:val="22"/>
      </w:rPr>
      <w:tblPr/>
      <w:tcPr>
        <w:shd w:val="clear" w:color="auto" w:fill="ECECEC" w:themeFill="accent3" w:themeFillTint="34"/>
      </w:tcPr>
    </w:tblStylePr>
    <w:tblStylePr w:type="band2Horz">
      <w:rPr>
        <w:rFonts w:ascii="Arial" w:hAnsi="Arial"/>
        <w:color w:val="A5A5A5" w:themeColor="accent3"/>
        <w:sz w:val="22"/>
      </w:rPr>
    </w:tblStylePr>
  </w:style>
  <w:style w:type="table" w:customStyle="1" w:styleId="GridTable7Colorful-Accent4">
    <w:name w:val="Grid Table 7 Colorful - Accent 4"/>
    <w:basedOn w:val="a2"/>
    <w:uiPriority w:val="99"/>
    <w:qFormat/>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966" w:themeColor="accent4" w:themeTint="99"/>
        <w:sz w:val="22"/>
      </w:rPr>
      <w:tblPr/>
      <w:tcPr>
        <w:tcBorders>
          <w:top w:val="nil"/>
          <w:left w:val="nil"/>
          <w:bottom w:val="single" w:sz="4" w:space="0" w:color="FFD865" w:themeColor="accent4" w:themeTint="9A"/>
          <w:right w:val="nil"/>
        </w:tcBorders>
        <w:shd w:val="clear" w:color="auto" w:fill="FFFFFF" w:themeFill="light1"/>
      </w:tcPr>
    </w:tblStylePr>
    <w:tblStylePr w:type="lastRow">
      <w:rPr>
        <w:rFonts w:ascii="Arial" w:hAnsi="Arial"/>
        <w:b/>
        <w:color w:val="FFD966" w:themeColor="accent4" w:themeTint="99"/>
        <w:sz w:val="22"/>
      </w:rPr>
      <w:tblPr/>
      <w:tcPr>
        <w:tcBorders>
          <w:top w:val="single" w:sz="4" w:space="0" w:color="FFD865" w:themeColor="accent4" w:themeTint="9A"/>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auto" w:fill="FFFFFF"/>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auto" w:fill="FFFFFF"/>
      </w:tcPr>
    </w:tblStylePr>
    <w:tblStylePr w:type="band1Vert">
      <w:tblPr/>
      <w:tcPr>
        <w:shd w:val="clear" w:color="auto" w:fill="FFF2CB" w:themeFill="accent4" w:themeFillTint="34"/>
      </w:tcPr>
    </w:tblStylePr>
    <w:tblStylePr w:type="band1Horz">
      <w:rPr>
        <w:rFonts w:ascii="Arial" w:hAnsi="Arial"/>
        <w:color w:val="FFD966" w:themeColor="accent4" w:themeTint="99"/>
        <w:sz w:val="22"/>
      </w:rPr>
      <w:tblPr/>
      <w:tcPr>
        <w:shd w:val="clear" w:color="auto" w:fill="FFF2CB" w:themeFill="accent4" w:themeFillTint="34"/>
      </w:tcPr>
    </w:tblStylePr>
    <w:tblStylePr w:type="band2Horz">
      <w:rPr>
        <w:rFonts w:ascii="Arial" w:hAnsi="Arial"/>
        <w:color w:val="FFD966" w:themeColor="accent4" w:themeTint="99"/>
        <w:sz w:val="22"/>
      </w:rPr>
    </w:tblStylePr>
  </w:style>
  <w:style w:type="table" w:customStyle="1" w:styleId="GridTable7Colorful-Accent5">
    <w:name w:val="Grid Table 7 Colorful - Accent 5"/>
    <w:basedOn w:val="a2"/>
    <w:uiPriority w:val="99"/>
    <w:qFormat/>
    <w:tblPr>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C" w:themeColor="accent5" w:themeShade="94"/>
        <w:sz w:val="22"/>
      </w:rPr>
      <w:tblPr/>
      <w:tcPr>
        <w:tcBorders>
          <w:top w:val="nil"/>
          <w:left w:val="nil"/>
          <w:bottom w:val="single" w:sz="4" w:space="0" w:color="A2C6E7" w:themeColor="accent5" w:themeTint="90"/>
          <w:right w:val="nil"/>
        </w:tcBorders>
        <w:shd w:val="clear" w:color="auto" w:fill="FFFFFF" w:themeFill="light1"/>
      </w:tcPr>
    </w:tblStylePr>
    <w:tblStylePr w:type="lastRow">
      <w:rPr>
        <w:rFonts w:ascii="Arial" w:hAnsi="Arial"/>
        <w:b/>
        <w:color w:val="245A8C" w:themeColor="accent5" w:themeShade="94"/>
        <w:sz w:val="22"/>
      </w:rPr>
      <w:tblPr/>
      <w:tcPr>
        <w:tcBorders>
          <w:top w:val="single" w:sz="4" w:space="0" w:color="A2C6E7" w:themeColor="accent5" w:themeTint="90"/>
          <w:left w:val="nil"/>
          <w:bottom w:val="nil"/>
          <w:right w:val="nil"/>
        </w:tcBorders>
        <w:shd w:val="clear" w:color="auto" w:fill="FFFFFF" w:themeFill="light1"/>
      </w:tcPr>
    </w:tblStylePr>
    <w:tblStylePr w:type="firstCol">
      <w:pPr>
        <w:jc w:val="right"/>
      </w:pPr>
      <w:rPr>
        <w:rFonts w:ascii="Arial" w:hAnsi="Arial"/>
        <w:i/>
        <w:color w:val="245A8C" w:themeColor="accent5" w:themeShade="94"/>
        <w:sz w:val="22"/>
      </w:rPr>
      <w:tblPr/>
      <w:tcPr>
        <w:tcBorders>
          <w:top w:val="nil"/>
          <w:left w:val="nil"/>
          <w:bottom w:val="nil"/>
          <w:right w:val="single" w:sz="4" w:space="0" w:color="A2C6E7" w:themeColor="accent5" w:themeTint="90"/>
        </w:tcBorders>
        <w:shd w:val="clear" w:color="auto" w:fill="FFFFFF"/>
      </w:tcPr>
    </w:tblStylePr>
    <w:tblStylePr w:type="lastCol">
      <w:rPr>
        <w:rFonts w:ascii="Arial" w:hAnsi="Arial"/>
        <w:i/>
        <w:color w:val="245A8C" w:themeColor="accent5" w:themeShade="94"/>
        <w:sz w:val="22"/>
      </w:rPr>
      <w:tblPr/>
      <w:tcPr>
        <w:tcBorders>
          <w:top w:val="nil"/>
          <w:left w:val="single" w:sz="4" w:space="0" w:color="A2C6E7" w:themeColor="accent5" w:themeTint="90"/>
          <w:bottom w:val="nil"/>
          <w:right w:val="nil"/>
        </w:tcBorders>
        <w:shd w:val="clear" w:color="auto" w:fill="FFFFFF"/>
      </w:tcPr>
    </w:tblStylePr>
    <w:tblStylePr w:type="band1Vert">
      <w:tblPr/>
      <w:tcPr>
        <w:shd w:val="clear" w:color="auto" w:fill="DDEAF6" w:themeFill="accent5" w:themeFillTint="34"/>
      </w:tcPr>
    </w:tblStylePr>
    <w:tblStylePr w:type="band1Horz">
      <w:rPr>
        <w:rFonts w:ascii="Arial" w:hAnsi="Arial"/>
        <w:color w:val="245A8C" w:themeColor="accent5" w:themeShade="94"/>
        <w:sz w:val="22"/>
      </w:rPr>
      <w:tblPr/>
      <w:tcPr>
        <w:shd w:val="clear" w:color="auto" w:fill="DDEAF6" w:themeFill="accent5" w:themeFillTint="34"/>
      </w:tcPr>
    </w:tblStylePr>
    <w:tblStylePr w:type="band2Horz">
      <w:rPr>
        <w:rFonts w:ascii="Arial" w:hAnsi="Arial"/>
        <w:color w:val="245A8C" w:themeColor="accent5" w:themeShade="94"/>
        <w:sz w:val="22"/>
      </w:rPr>
    </w:tblStylePr>
  </w:style>
  <w:style w:type="table" w:customStyle="1" w:styleId="GridTable7Colorful-Accent6">
    <w:name w:val="Grid Table 7 Colorful - Accent 6"/>
    <w:basedOn w:val="a2"/>
    <w:uiPriority w:val="99"/>
    <w:qFormat/>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06429" w:themeColor="accent6" w:themeShade="94"/>
        <w:sz w:val="22"/>
      </w:rPr>
      <w:tblPr/>
      <w:tcPr>
        <w:tcBorders>
          <w:top w:val="nil"/>
          <w:left w:val="nil"/>
          <w:bottom w:val="single" w:sz="4" w:space="0" w:color="ADD394" w:themeColor="accent6" w:themeTint="90"/>
          <w:right w:val="nil"/>
        </w:tcBorders>
        <w:shd w:val="clear" w:color="auto" w:fill="FFFFFF" w:themeFill="light1"/>
      </w:tcPr>
    </w:tblStylePr>
    <w:tblStylePr w:type="lastRow">
      <w:rPr>
        <w:rFonts w:ascii="Arial" w:hAnsi="Arial"/>
        <w:b/>
        <w:color w:val="406429" w:themeColor="accent6" w:themeShade="94"/>
        <w:sz w:val="22"/>
      </w:rPr>
      <w:tblPr/>
      <w:tcPr>
        <w:tcBorders>
          <w:top w:val="single" w:sz="4" w:space="0" w:color="ADD394" w:themeColor="accent6" w:themeTint="90"/>
          <w:left w:val="nil"/>
          <w:bottom w:val="nil"/>
          <w:right w:val="nil"/>
        </w:tcBorders>
        <w:shd w:val="clear" w:color="auto" w:fill="FFFFFF" w:themeFill="light1"/>
      </w:tcPr>
    </w:tblStylePr>
    <w:tblStylePr w:type="firstCol">
      <w:pPr>
        <w:jc w:val="right"/>
      </w:pPr>
      <w:rPr>
        <w:rFonts w:ascii="Arial" w:hAnsi="Arial"/>
        <w:i/>
        <w:color w:val="406429" w:themeColor="accent6" w:themeShade="94"/>
        <w:sz w:val="22"/>
      </w:rPr>
      <w:tblPr/>
      <w:tcPr>
        <w:tcBorders>
          <w:top w:val="nil"/>
          <w:left w:val="nil"/>
          <w:bottom w:val="nil"/>
          <w:right w:val="single" w:sz="4" w:space="0" w:color="ADD394" w:themeColor="accent6" w:themeTint="90"/>
        </w:tcBorders>
        <w:shd w:val="clear" w:color="auto" w:fill="FFFFFF"/>
      </w:tcPr>
    </w:tblStylePr>
    <w:tblStylePr w:type="lastCol">
      <w:rPr>
        <w:rFonts w:ascii="Arial" w:hAnsi="Arial"/>
        <w:i/>
        <w:color w:val="406429" w:themeColor="accent6" w:themeShade="94"/>
        <w:sz w:val="22"/>
      </w:rPr>
      <w:tblPr/>
      <w:tcPr>
        <w:tcBorders>
          <w:top w:val="nil"/>
          <w:left w:val="single" w:sz="4" w:space="0" w:color="ADD394" w:themeColor="accent6" w:themeTint="90"/>
          <w:bottom w:val="nil"/>
          <w:right w:val="nil"/>
        </w:tcBorders>
        <w:shd w:val="clear" w:color="auto" w:fill="FFFFFF"/>
      </w:tcPr>
    </w:tblStylePr>
    <w:tblStylePr w:type="band1Vert">
      <w:tblPr/>
      <w:tcPr>
        <w:shd w:val="clear" w:color="auto" w:fill="E1EFD8" w:themeFill="accent6" w:themeFillTint="34"/>
      </w:tcPr>
    </w:tblStylePr>
    <w:tblStylePr w:type="band1Horz">
      <w:rPr>
        <w:rFonts w:ascii="Arial" w:hAnsi="Arial"/>
        <w:color w:val="406429" w:themeColor="accent6" w:themeShade="94"/>
        <w:sz w:val="22"/>
      </w:rPr>
      <w:tblPr/>
      <w:tcPr>
        <w:shd w:val="clear" w:color="auto" w:fill="E1EFD8" w:themeFill="accent6" w:themeFillTint="34"/>
      </w:tcPr>
    </w:tblStylePr>
    <w:tblStylePr w:type="band2Horz">
      <w:rPr>
        <w:rFonts w:ascii="Arial" w:hAnsi="Arial"/>
        <w:color w:val="406429" w:themeColor="accent6" w:themeShade="94"/>
        <w:sz w:val="22"/>
      </w:rPr>
    </w:tblStylePr>
  </w:style>
  <w:style w:type="table" w:customStyle="1" w:styleId="112">
    <w:name w:val="清单表 1 浅色1"/>
    <w:basedOn w:val="a2"/>
    <w:uiPriority w:val="99"/>
    <w:qFormat/>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qFormat/>
    <w:tblPr/>
    <w:tblStylePr w:type="firstRow">
      <w:rPr>
        <w:b/>
        <w:color w:val="404040"/>
      </w:rPr>
      <w:tblPr/>
      <w:tcPr>
        <w:tcBorders>
          <w:top w:val="nil"/>
          <w:left w:val="nil"/>
          <w:bottom w:val="single" w:sz="4" w:space="0" w:color="4472C4" w:themeColor="accent1"/>
          <w:right w:val="nil"/>
        </w:tcBorders>
      </w:tcPr>
    </w:tblStylePr>
    <w:tblStylePr w:type="lastRow">
      <w:rPr>
        <w:b/>
        <w:color w:val="404040"/>
      </w:rPr>
      <w:tblPr/>
      <w:tcPr>
        <w:tcBorders>
          <w:top w:val="single" w:sz="4" w:space="0" w:color="4472C4"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qFormat/>
    <w:tblPr/>
    <w:tblStylePr w:type="firstRow">
      <w:rPr>
        <w:b/>
        <w:color w:val="404040"/>
      </w:rPr>
      <w:tblPr/>
      <w:tcPr>
        <w:tcBorders>
          <w:top w:val="nil"/>
          <w:left w:val="nil"/>
          <w:bottom w:val="single" w:sz="4" w:space="0" w:color="ED7D31" w:themeColor="accent2"/>
          <w:right w:val="nil"/>
        </w:tcBorders>
      </w:tcPr>
    </w:tblStylePr>
    <w:tblStylePr w:type="lastRow">
      <w:rPr>
        <w:b/>
        <w:color w:val="404040"/>
      </w:rPr>
      <w:tblPr/>
      <w:tcPr>
        <w:tcBorders>
          <w:top w:val="single" w:sz="4" w:space="0" w:color="ED7D31"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qFormat/>
    <w:tblPr/>
    <w:tblStylePr w:type="firstRow">
      <w:rPr>
        <w:b/>
        <w:color w:val="404040"/>
      </w:rPr>
      <w:tblPr/>
      <w:tcPr>
        <w:tcBorders>
          <w:top w:val="nil"/>
          <w:left w:val="nil"/>
          <w:bottom w:val="single" w:sz="4" w:space="0" w:color="A5A5A5" w:themeColor="accent3"/>
          <w:right w:val="nil"/>
        </w:tcBorders>
      </w:tcPr>
    </w:tblStylePr>
    <w:tblStylePr w:type="lastRow">
      <w:rPr>
        <w:b/>
        <w:color w:val="404040"/>
      </w:rPr>
      <w:tblPr/>
      <w:tcPr>
        <w:tcBorders>
          <w:top w:val="single" w:sz="4" w:space="0" w:color="A5A5A5"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qFormat/>
    <w:tblPr/>
    <w:tblStylePr w:type="firstRow">
      <w:rPr>
        <w:b/>
        <w:color w:val="404040"/>
      </w:rPr>
      <w:tblPr/>
      <w:tcPr>
        <w:tcBorders>
          <w:top w:val="nil"/>
          <w:left w:val="nil"/>
          <w:bottom w:val="single" w:sz="4" w:space="0" w:color="FFC000" w:themeColor="accent4"/>
          <w:right w:val="nil"/>
        </w:tcBorders>
      </w:tcPr>
    </w:tblStylePr>
    <w:tblStylePr w:type="lastRow">
      <w:rPr>
        <w:b/>
        <w:color w:val="404040"/>
      </w:rPr>
      <w:tblPr/>
      <w:tcPr>
        <w:tcBorders>
          <w:top w:val="single" w:sz="4" w:space="0" w:color="FFC000"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qFormat/>
    <w:tblPr/>
    <w:tblStylePr w:type="firstRow">
      <w:rPr>
        <w:b/>
        <w:color w:val="404040"/>
      </w:rPr>
      <w:tblPr/>
      <w:tcPr>
        <w:tcBorders>
          <w:top w:val="nil"/>
          <w:left w:val="nil"/>
          <w:bottom w:val="single" w:sz="4" w:space="0" w:color="5B9BD5" w:themeColor="accent5"/>
          <w:right w:val="nil"/>
        </w:tcBorders>
      </w:tcPr>
    </w:tblStylePr>
    <w:tblStylePr w:type="lastRow">
      <w:rPr>
        <w:b/>
        <w:color w:val="404040"/>
      </w:rPr>
      <w:tblPr/>
      <w:tcPr>
        <w:tcBorders>
          <w:top w:val="single" w:sz="4" w:space="0" w:color="5B9BD5"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qFormat/>
    <w:tblPr/>
    <w:tblStylePr w:type="firstRow">
      <w:rPr>
        <w:b/>
        <w:color w:val="404040"/>
      </w:rPr>
      <w:tblPr/>
      <w:tcPr>
        <w:tcBorders>
          <w:top w:val="nil"/>
          <w:left w:val="nil"/>
          <w:bottom w:val="single" w:sz="4" w:space="0" w:color="70AD47" w:themeColor="accent6"/>
          <w:right w:val="nil"/>
        </w:tcBorders>
      </w:tcPr>
    </w:tblStylePr>
    <w:tblStylePr w:type="lastRow">
      <w:rPr>
        <w:b/>
        <w:color w:val="404040"/>
      </w:rPr>
      <w:tblPr/>
      <w:tcPr>
        <w:tcBorders>
          <w:top w:val="single" w:sz="4" w:space="0" w:color="70AD47"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212">
    <w:name w:val="清单表 21"/>
    <w:basedOn w:val="a2"/>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qFormat/>
    <w:tblPr>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il"/>
          <w:bottom w:val="single" w:sz="4" w:space="0" w:color="95AFDD" w:themeColor="accent1" w:themeTint="90"/>
          <w:right w:val="nil"/>
        </w:tcBorders>
      </w:tcPr>
    </w:tblStylePr>
    <w:tblStylePr w:type="lastRow">
      <w:rPr>
        <w:rFonts w:ascii="Arial" w:hAnsi="Arial"/>
        <w:b/>
        <w:color w:val="404040"/>
        <w:sz w:val="22"/>
      </w:rPr>
      <w:tblPr/>
      <w:tcPr>
        <w:tcBorders>
          <w:top w:val="single" w:sz="4" w:space="0" w:color="95AFDD" w:themeColor="accent1" w:themeTint="90"/>
          <w:left w:val="nil"/>
          <w:bottom w:val="single" w:sz="4" w:space="0" w:color="95AFDD"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qFormat/>
    <w:tblPr>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la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qFormat/>
    <w:tblPr>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la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qFormat/>
    <w:tblPr>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la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qFormat/>
    <w:tblPr>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il"/>
          <w:bottom w:val="single" w:sz="4" w:space="0" w:color="A2C6E7" w:themeColor="accent5" w:themeTint="90"/>
          <w:right w:val="nil"/>
        </w:tcBorders>
      </w:tcPr>
    </w:tblStylePr>
    <w:tblStylePr w:type="lastRow">
      <w:rPr>
        <w:rFonts w:ascii="Arial" w:hAnsi="Arial"/>
        <w:b/>
        <w:color w:val="404040"/>
        <w:sz w:val="22"/>
      </w:rPr>
      <w:tblPr/>
      <w:tcPr>
        <w:tcBorders>
          <w:top w:val="single" w:sz="4" w:space="0" w:color="A2C6E7" w:themeColor="accent5" w:themeTint="90"/>
          <w:left w:val="nil"/>
          <w:bottom w:val="single" w:sz="4" w:space="0" w:color="A2C6E7"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qFormat/>
    <w:tblPr>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la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312">
    <w:name w:val="清单表 31"/>
    <w:basedOn w:val="a2"/>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qFormat/>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qFormat/>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qFormat/>
    <w:tblPr>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qFormat/>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2">
    <w:name w:val="清单表 41"/>
    <w:basedOn w:val="a2"/>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qFormat/>
    <w:tblPr>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qFormat/>
    <w:tblPr>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512">
    <w:name w:val="清单表 5 深色1"/>
    <w:basedOn w:val="a2"/>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qFormat/>
    <w:tblPr>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qFormat/>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qFormat/>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qFormat/>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qFormat/>
    <w:tblPr>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qFormat/>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610">
    <w:name w:val="清单表 6 彩色1"/>
    <w:basedOn w:val="a2"/>
    <w:uiPriority w:val="99"/>
    <w:qFormat/>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qFormat/>
    <w:tblPr>
      <w:tblBorders>
        <w:top w:val="single" w:sz="4" w:space="0" w:color="4472C4" w:themeColor="accent1"/>
        <w:bottom w:val="single" w:sz="4" w:space="0" w:color="4472C4" w:themeColor="accent1"/>
      </w:tblBorders>
    </w:tblPr>
    <w:tblStylePr w:type="firstRow">
      <w:rPr>
        <w:b/>
        <w:color w:val="244174" w:themeColor="accent1" w:themeShade="94"/>
      </w:rPr>
      <w:tblPr/>
      <w:tcPr>
        <w:tcBorders>
          <w:bottom w:val="single" w:sz="4" w:space="0" w:color="4472C4" w:themeColor="accent1"/>
        </w:tcBorders>
      </w:tcPr>
    </w:tblStylePr>
    <w:tblStylePr w:type="lastRow">
      <w:rPr>
        <w:b/>
        <w:color w:val="244174" w:themeColor="accent1" w:themeShade="94"/>
      </w:rPr>
      <w:tblPr/>
      <w:tcPr>
        <w:tcBorders>
          <w:top w:val="single" w:sz="4" w:space="0" w:color="4472C4" w:themeColor="accent1"/>
        </w:tcBorders>
      </w:tcPr>
    </w:tblStylePr>
    <w:tblStylePr w:type="firstCol">
      <w:rPr>
        <w:b/>
        <w:color w:val="244174" w:themeColor="accent1" w:themeShade="94"/>
      </w:rPr>
    </w:tblStylePr>
    <w:tblStylePr w:type="lastCol">
      <w:rPr>
        <w:b/>
        <w:color w:val="244174" w:themeColor="accent1" w:themeShade="94"/>
      </w:rPr>
    </w:tblStylePr>
    <w:tblStylePr w:type="band1Vert">
      <w:tblPr/>
      <w:tcPr>
        <w:shd w:val="clear" w:color="auto" w:fill="CFDBF0" w:themeFill="accent1" w:themeFillTint="40"/>
      </w:tcPr>
    </w:tblStylePr>
    <w:tblStylePr w:type="band1Horz">
      <w:rPr>
        <w:rFonts w:ascii="Arial" w:hAnsi="Arial"/>
        <w:color w:val="244174" w:themeColor="accent1" w:themeShade="94"/>
        <w:sz w:val="22"/>
      </w:rPr>
      <w:tblPr/>
      <w:tcPr>
        <w:shd w:val="clear" w:color="auto" w:fill="CFDBF0" w:themeFill="accent1" w:themeFillTint="40"/>
      </w:tcPr>
    </w:tblStylePr>
    <w:tblStylePr w:type="band2Horz">
      <w:rPr>
        <w:rFonts w:ascii="Arial" w:hAnsi="Arial"/>
        <w:color w:val="244174" w:themeColor="accent1" w:themeShade="94"/>
        <w:sz w:val="22"/>
      </w:rPr>
    </w:tblStylePr>
  </w:style>
  <w:style w:type="table" w:customStyle="1" w:styleId="ListTable6Colorful-Accent2">
    <w:name w:val="List Table 6 Colorful - Accent 2"/>
    <w:basedOn w:val="a2"/>
    <w:uiPriority w:val="99"/>
    <w:qFormat/>
    <w:tblPr>
      <w:tblBorders>
        <w:top w:val="single" w:sz="4" w:space="0" w:color="F4B184" w:themeColor="accent2" w:themeTint="97"/>
        <w:bottom w:val="single" w:sz="4" w:space="0" w:color="F4B184" w:themeColor="accent2" w:themeTint="97"/>
      </w:tblBorders>
    </w:tblPr>
    <w:tblStylePr w:type="firstRow">
      <w:rPr>
        <w:b/>
        <w:color w:val="F4B285" w:themeColor="accent2" w:themeTint="96"/>
      </w:rPr>
      <w:tblPr/>
      <w:tcPr>
        <w:tcBorders>
          <w:bottom w:val="single" w:sz="4" w:space="0" w:color="F4B184" w:themeColor="accent2" w:themeTint="97"/>
        </w:tcBorders>
      </w:tcPr>
    </w:tblStylePr>
    <w:tblStylePr w:type="lastRow">
      <w:rPr>
        <w:b/>
        <w:color w:val="F4B285" w:themeColor="accent2" w:themeTint="96"/>
      </w:rPr>
      <w:tblPr/>
      <w:tcPr>
        <w:tcBorders>
          <w:top w:val="single" w:sz="4" w:space="0" w:color="F4B184" w:themeColor="accent2" w:themeTint="97"/>
        </w:tcBorders>
      </w:tcPr>
    </w:tblStylePr>
    <w:tblStylePr w:type="firstCol">
      <w:rPr>
        <w:b/>
        <w:color w:val="F4B285" w:themeColor="accent2" w:themeTint="96"/>
      </w:rPr>
    </w:tblStylePr>
    <w:tblStylePr w:type="lastCol">
      <w:rPr>
        <w:b/>
        <w:color w:val="F4B285" w:themeColor="accent2" w:themeTint="96"/>
      </w:rPr>
    </w:tblStylePr>
    <w:tblStylePr w:type="band1Vert">
      <w:tblPr/>
      <w:tcPr>
        <w:shd w:val="clear" w:color="auto" w:fill="FADECB" w:themeFill="accent2" w:themeFillTint="40"/>
      </w:tcPr>
    </w:tblStylePr>
    <w:tblStylePr w:type="band1Horz">
      <w:rPr>
        <w:rFonts w:ascii="Arial" w:hAnsi="Arial"/>
        <w:color w:val="F4B285" w:themeColor="accent2" w:themeTint="96"/>
        <w:sz w:val="22"/>
      </w:rPr>
      <w:tblPr/>
      <w:tcPr>
        <w:shd w:val="clear" w:color="auto" w:fill="FADECB" w:themeFill="accent2" w:themeFillTint="40"/>
      </w:tcPr>
    </w:tblStylePr>
    <w:tblStylePr w:type="band2Horz">
      <w:rPr>
        <w:rFonts w:ascii="Arial" w:hAnsi="Arial"/>
        <w:color w:val="F4B285" w:themeColor="accent2" w:themeTint="96"/>
        <w:sz w:val="22"/>
      </w:rPr>
    </w:tblStylePr>
  </w:style>
  <w:style w:type="table" w:customStyle="1" w:styleId="ListTable6Colorful-Accent3">
    <w:name w:val="List Table 6 Colorful - Accent 3"/>
    <w:basedOn w:val="a2"/>
    <w:uiPriority w:val="99"/>
    <w:qFormat/>
    <w:tblPr>
      <w:tblBorders>
        <w:top w:val="single" w:sz="4" w:space="0" w:color="C9C9C9" w:themeColor="accent3" w:themeTint="98"/>
        <w:bottom w:val="single" w:sz="4" w:space="0" w:color="C9C9C9" w:themeColor="accent3" w:themeTint="98"/>
      </w:tblBorders>
    </w:tblPr>
    <w:tblStylePr w:type="firstRow">
      <w:rPr>
        <w:b/>
        <w:color w:val="C9C9C9" w:themeColor="accent3" w:themeTint="99"/>
      </w:rPr>
      <w:tblPr/>
      <w:tcPr>
        <w:tcBorders>
          <w:bottom w:val="single" w:sz="4" w:space="0" w:color="C9C9C9" w:themeColor="accent3" w:themeTint="98"/>
        </w:tcBorders>
      </w:tcPr>
    </w:tblStylePr>
    <w:tblStylePr w:type="lastRow">
      <w:rPr>
        <w:b/>
        <w:color w:val="C9C9C9" w:themeColor="accent3" w:themeTint="99"/>
      </w:rPr>
      <w:tblPr/>
      <w:tcPr>
        <w:tcBorders>
          <w:top w:val="single" w:sz="4" w:space="0" w:color="C9C9C9" w:themeColor="accent3" w:themeTint="98"/>
        </w:tcBorders>
      </w:tcPr>
    </w:tblStylePr>
    <w:tblStylePr w:type="firstCol">
      <w:rPr>
        <w:b/>
        <w:color w:val="C9C9C9" w:themeColor="accent3" w:themeTint="99"/>
      </w:rPr>
    </w:tblStylePr>
    <w:tblStylePr w:type="lastCol">
      <w:rPr>
        <w:b/>
        <w:color w:val="C9C9C9" w:themeColor="accent3" w:themeTint="99"/>
      </w:rPr>
    </w:tblStylePr>
    <w:tblStylePr w:type="band1Vert">
      <w:tblPr/>
      <w:tcPr>
        <w:shd w:val="clear" w:color="auto" w:fill="E8E8E8" w:themeFill="accent3" w:themeFillTint="40"/>
      </w:tcPr>
    </w:tblStylePr>
    <w:tblStylePr w:type="band1Horz">
      <w:rPr>
        <w:rFonts w:ascii="Arial" w:hAnsi="Arial"/>
        <w:color w:val="C9C9C9" w:themeColor="accent3" w:themeTint="99"/>
        <w:sz w:val="22"/>
      </w:rPr>
      <w:tblPr/>
      <w:tcPr>
        <w:shd w:val="clear" w:color="auto" w:fill="E8E8E8" w:themeFill="accent3" w:themeFillTint="40"/>
      </w:tcPr>
    </w:tblStylePr>
    <w:tblStylePr w:type="band2Horz">
      <w:rPr>
        <w:rFonts w:ascii="Arial" w:hAnsi="Arial"/>
        <w:color w:val="C9C9C9" w:themeColor="accent3" w:themeTint="99"/>
        <w:sz w:val="22"/>
      </w:rPr>
    </w:tblStylePr>
  </w:style>
  <w:style w:type="table" w:customStyle="1" w:styleId="ListTable6Colorful-Accent4">
    <w:name w:val="List Table 6 Colorful - Accent 4"/>
    <w:basedOn w:val="a2"/>
    <w:uiPriority w:val="99"/>
    <w:qFormat/>
    <w:tblPr>
      <w:tblBorders>
        <w:top w:val="single" w:sz="4" w:space="0" w:color="FFD865" w:themeColor="accent4" w:themeTint="9A"/>
        <w:bottom w:val="single" w:sz="4" w:space="0" w:color="FFD865" w:themeColor="accent4" w:themeTint="9A"/>
      </w:tblBorders>
    </w:tblPr>
    <w:tblStylePr w:type="firstRow">
      <w:rPr>
        <w:b/>
        <w:color w:val="FFD966" w:themeColor="accent4" w:themeTint="99"/>
      </w:rPr>
      <w:tblPr/>
      <w:tcPr>
        <w:tcBorders>
          <w:bottom w:val="single" w:sz="4" w:space="0" w:color="FFD865" w:themeColor="accent4" w:themeTint="9A"/>
        </w:tcBorders>
      </w:tcPr>
    </w:tblStylePr>
    <w:tblStylePr w:type="lastRow">
      <w:rPr>
        <w:b/>
        <w:color w:val="FFD966" w:themeColor="accent4" w:themeTint="99"/>
      </w:rPr>
      <w:tblPr/>
      <w:tcPr>
        <w:tcBorders>
          <w:top w:val="single" w:sz="4" w:space="0" w:color="FFD865" w:themeColor="accent4" w:themeTint="9A"/>
        </w:tcBorders>
      </w:tcPr>
    </w:tblStylePr>
    <w:tblStylePr w:type="firstCol">
      <w:rPr>
        <w:b/>
        <w:color w:val="FFD966" w:themeColor="accent4" w:themeTint="99"/>
      </w:rPr>
    </w:tblStylePr>
    <w:tblStylePr w:type="lastCol">
      <w:rPr>
        <w:b/>
        <w:color w:val="FFD966" w:themeColor="accent4" w:themeTint="99"/>
      </w:rPr>
    </w:tblStylePr>
    <w:tblStylePr w:type="band1Vert">
      <w:tblPr/>
      <w:tcPr>
        <w:shd w:val="clear" w:color="auto" w:fill="FFEFBF" w:themeFill="accent4" w:themeFillTint="40"/>
      </w:tcPr>
    </w:tblStylePr>
    <w:tblStylePr w:type="band1Horz">
      <w:rPr>
        <w:rFonts w:ascii="Arial" w:hAnsi="Arial"/>
        <w:color w:val="FFD966" w:themeColor="accent4" w:themeTint="99"/>
        <w:sz w:val="22"/>
      </w:rPr>
      <w:tblPr/>
      <w:tcPr>
        <w:shd w:val="clear" w:color="auto" w:fill="FFEFBF" w:themeFill="accent4" w:themeFillTint="40"/>
      </w:tcPr>
    </w:tblStylePr>
    <w:tblStylePr w:type="band2Horz">
      <w:rPr>
        <w:rFonts w:ascii="Arial" w:hAnsi="Arial"/>
        <w:color w:val="FFD966" w:themeColor="accent4" w:themeTint="99"/>
        <w:sz w:val="22"/>
      </w:rPr>
    </w:tblStylePr>
  </w:style>
  <w:style w:type="table" w:customStyle="1" w:styleId="ListTable6Colorful-Accent5">
    <w:name w:val="List Table 6 Colorful - Accent 5"/>
    <w:basedOn w:val="a2"/>
    <w:uiPriority w:val="99"/>
    <w:qFormat/>
    <w:tblPr>
      <w:tblBorders>
        <w:top w:val="single" w:sz="4" w:space="0" w:color="9BC2E5" w:themeColor="accent5" w:themeTint="9A"/>
        <w:bottom w:val="single" w:sz="4" w:space="0" w:color="9BC2E5" w:themeColor="accent5" w:themeTint="9A"/>
      </w:tblBorders>
    </w:tblPr>
    <w:tblStylePr w:type="firstRow">
      <w:rPr>
        <w:b/>
        <w:color w:val="9CC2E5" w:themeColor="accent5" w:themeTint="99"/>
      </w:rPr>
      <w:tblPr/>
      <w:tcPr>
        <w:tcBorders>
          <w:bottom w:val="single" w:sz="4" w:space="0" w:color="9BC2E5" w:themeColor="accent5" w:themeTint="9A"/>
        </w:tcBorders>
      </w:tcPr>
    </w:tblStylePr>
    <w:tblStylePr w:type="lastRow">
      <w:rPr>
        <w:b/>
        <w:color w:val="9CC2E5" w:themeColor="accent5" w:themeTint="99"/>
      </w:rPr>
      <w:tblPr/>
      <w:tcPr>
        <w:tcBorders>
          <w:top w:val="single" w:sz="4" w:space="0" w:color="9BC2E5" w:themeColor="accent5" w:themeTint="9A"/>
        </w:tcBorders>
      </w:tcPr>
    </w:tblStylePr>
    <w:tblStylePr w:type="firstCol">
      <w:rPr>
        <w:b/>
        <w:color w:val="9CC2E5" w:themeColor="accent5" w:themeTint="99"/>
      </w:rPr>
    </w:tblStylePr>
    <w:tblStylePr w:type="lastCol">
      <w:rPr>
        <w:b/>
        <w:color w:val="9CC2E5" w:themeColor="accent5" w:themeTint="99"/>
      </w:rPr>
    </w:tblStylePr>
    <w:tblStylePr w:type="band1Vert">
      <w:tblPr/>
      <w:tcPr>
        <w:shd w:val="clear" w:color="auto" w:fill="D5E5F4" w:themeFill="accent5" w:themeFillTint="40"/>
      </w:tcPr>
    </w:tblStylePr>
    <w:tblStylePr w:type="band1Horz">
      <w:rPr>
        <w:rFonts w:ascii="Arial" w:hAnsi="Arial"/>
        <w:color w:val="9CC2E5" w:themeColor="accent5" w:themeTint="99"/>
        <w:sz w:val="22"/>
      </w:rPr>
      <w:tblPr/>
      <w:tcPr>
        <w:shd w:val="clear" w:color="auto" w:fill="D5E5F4" w:themeFill="accent5" w:themeFillTint="40"/>
      </w:tcPr>
    </w:tblStylePr>
    <w:tblStylePr w:type="band2Horz">
      <w:rPr>
        <w:rFonts w:ascii="Arial" w:hAnsi="Arial"/>
        <w:color w:val="9CC2E5" w:themeColor="accent5" w:themeTint="99"/>
        <w:sz w:val="22"/>
      </w:rPr>
    </w:tblStylePr>
  </w:style>
  <w:style w:type="table" w:customStyle="1" w:styleId="ListTable6Colorful-Accent6">
    <w:name w:val="List Table 6 Colorful - Accent 6"/>
    <w:basedOn w:val="a2"/>
    <w:uiPriority w:val="99"/>
    <w:qFormat/>
    <w:tblPr>
      <w:tblBorders>
        <w:top w:val="single" w:sz="4" w:space="0" w:color="A9D08E" w:themeColor="accent6" w:themeTint="98"/>
        <w:bottom w:val="single" w:sz="4" w:space="0" w:color="A9D08E" w:themeColor="accent6" w:themeTint="98"/>
      </w:tblBorders>
    </w:tblPr>
    <w:tblStylePr w:type="firstRow">
      <w:rPr>
        <w:b/>
        <w:color w:val="A8D08D" w:themeColor="accent6" w:themeTint="99"/>
      </w:rPr>
      <w:tblPr/>
      <w:tcPr>
        <w:tcBorders>
          <w:bottom w:val="single" w:sz="4" w:space="0" w:color="A9D08E" w:themeColor="accent6" w:themeTint="98"/>
        </w:tcBorders>
      </w:tcPr>
    </w:tblStylePr>
    <w:tblStylePr w:type="lastRow">
      <w:rPr>
        <w:b/>
        <w:color w:val="A8D08D" w:themeColor="accent6" w:themeTint="99"/>
      </w:rPr>
      <w:tblPr/>
      <w:tcPr>
        <w:tcBorders>
          <w:top w:val="single" w:sz="4" w:space="0" w:color="A9D08E" w:themeColor="accent6" w:themeTint="98"/>
        </w:tcBorders>
      </w:tcPr>
    </w:tblStylePr>
    <w:tblStylePr w:type="firstCol">
      <w:rPr>
        <w:b/>
        <w:color w:val="A8D08D" w:themeColor="accent6" w:themeTint="99"/>
      </w:rPr>
    </w:tblStylePr>
    <w:tblStylePr w:type="lastCol">
      <w:rPr>
        <w:b/>
        <w:color w:val="A8D08D" w:themeColor="accent6" w:themeTint="99"/>
      </w:rPr>
    </w:tblStylePr>
    <w:tblStylePr w:type="band1Vert">
      <w:tblPr/>
      <w:tcPr>
        <w:shd w:val="clear" w:color="auto" w:fill="DAEBCF" w:themeFill="accent6" w:themeFillTint="40"/>
      </w:tcPr>
    </w:tblStylePr>
    <w:tblStylePr w:type="band1Horz">
      <w:rPr>
        <w:rFonts w:ascii="Arial" w:hAnsi="Arial"/>
        <w:color w:val="A8D08D" w:themeColor="accent6" w:themeTint="99"/>
        <w:sz w:val="22"/>
      </w:rPr>
      <w:tblPr/>
      <w:tcPr>
        <w:shd w:val="clear" w:color="auto" w:fill="DAEBCF" w:themeFill="accent6" w:themeFillTint="40"/>
      </w:tcPr>
    </w:tblStylePr>
    <w:tblStylePr w:type="band2Horz">
      <w:rPr>
        <w:rFonts w:ascii="Arial" w:hAnsi="Arial"/>
        <w:color w:val="A8D08D" w:themeColor="accent6" w:themeTint="99"/>
        <w:sz w:val="22"/>
      </w:rPr>
    </w:tblStylePr>
  </w:style>
  <w:style w:type="table" w:customStyle="1" w:styleId="710">
    <w:name w:val="清单表 7 彩色1"/>
    <w:basedOn w:val="a2"/>
    <w:uiPriority w:val="99"/>
    <w:qFormat/>
    <w:tblPr>
      <w:tblBorders>
        <w:right w:val="single" w:sz="4" w:space="0" w:color="7F7F7F" w:themeColor="text1" w:themeTint="80"/>
      </w:tblBorders>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auto"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auto"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auto" w:fill="FFFFFF"/>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sz w:val="22"/>
      </w:rPr>
      <w:tblPr/>
      <w:tcPr>
        <w:shd w:val="clear" w:color="auto"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basedOn w:val="a2"/>
    <w:uiPriority w:val="99"/>
    <w:qFormat/>
    <w:tblPr>
      <w:tblBorders>
        <w:right w:val="single" w:sz="4" w:space="0" w:color="4472C4" w:themeColor="accent1"/>
      </w:tblBorders>
    </w:tblPr>
    <w:tblStylePr w:type="firstRow">
      <w:rPr>
        <w:rFonts w:ascii="Arial" w:hAnsi="Arial"/>
        <w:i/>
        <w:color w:val="244174" w:themeColor="accent1" w:themeShade="94"/>
        <w:sz w:val="22"/>
      </w:rPr>
      <w:tblPr/>
      <w:tcPr>
        <w:tcBorders>
          <w:top w:val="nil"/>
          <w:left w:val="nil"/>
          <w:bottom w:val="single" w:sz="4" w:space="0" w:color="4472C4" w:themeColor="accent1"/>
          <w:right w:val="nil"/>
        </w:tcBorders>
        <w:shd w:val="clear" w:color="auto" w:fill="FFFFFF" w:themeFill="light1"/>
      </w:tcPr>
    </w:tblStylePr>
    <w:tblStylePr w:type="lastRow">
      <w:rPr>
        <w:rFonts w:ascii="Arial" w:hAnsi="Arial"/>
        <w:i/>
        <w:color w:val="244174" w:themeColor="accent1" w:themeShade="94"/>
        <w:sz w:val="22"/>
      </w:rPr>
      <w:tblPr/>
      <w:tcPr>
        <w:tcBorders>
          <w:top w:val="single" w:sz="4" w:space="0" w:color="4472C4" w:themeColor="accent1"/>
          <w:left w:val="nil"/>
          <w:bottom w:val="nil"/>
          <w:right w:val="nil"/>
        </w:tcBorders>
        <w:shd w:val="clear" w:color="auto" w:fill="FFFFFF" w:themeFill="light1"/>
      </w:tcPr>
    </w:tblStylePr>
    <w:tblStylePr w:type="firstCol">
      <w:pPr>
        <w:jc w:val="right"/>
      </w:pPr>
      <w:rPr>
        <w:rFonts w:ascii="Arial" w:hAnsi="Arial"/>
        <w:i/>
        <w:color w:val="244174" w:themeColor="accent1" w:themeShade="94"/>
        <w:sz w:val="22"/>
      </w:rPr>
      <w:tblPr/>
      <w:tcPr>
        <w:tcBorders>
          <w:top w:val="nil"/>
          <w:left w:val="nil"/>
          <w:bottom w:val="nil"/>
          <w:right w:val="single" w:sz="4" w:space="0" w:color="4472C4" w:themeColor="accent1"/>
        </w:tcBorders>
        <w:shd w:val="clear" w:color="auto" w:fill="FFFFFF"/>
      </w:tcPr>
    </w:tblStylePr>
    <w:tblStylePr w:type="lastCol">
      <w:rPr>
        <w:rFonts w:ascii="Arial" w:hAnsi="Arial"/>
        <w:i/>
        <w:color w:val="244174" w:themeColor="accent1" w:themeShade="94"/>
        <w:sz w:val="22"/>
      </w:rPr>
      <w:tblPr/>
      <w:tcPr>
        <w:tcBorders>
          <w:top w:val="nil"/>
          <w:left w:val="single" w:sz="4" w:space="0" w:color="4472C4" w:themeColor="accent1"/>
          <w:bottom w:val="nil"/>
          <w:right w:val="nil"/>
        </w:tcBorders>
        <w:shd w:val="clear" w:color="auto" w:fill="FFFFFF"/>
      </w:tcPr>
    </w:tblStylePr>
    <w:tblStylePr w:type="band1Vert">
      <w:tblPr/>
      <w:tcPr>
        <w:shd w:val="clear" w:color="auto" w:fill="CFDBF0" w:themeFill="accent1" w:themeFillTint="40"/>
      </w:tcPr>
    </w:tblStylePr>
    <w:tblStylePr w:type="band1Horz">
      <w:rPr>
        <w:rFonts w:ascii="Arial" w:hAnsi="Arial"/>
        <w:color w:val="244174" w:themeColor="accent1" w:themeShade="94"/>
        <w:sz w:val="22"/>
      </w:rPr>
      <w:tblPr/>
      <w:tcPr>
        <w:shd w:val="clear" w:color="auto" w:fill="CFDBF0" w:themeFill="accent1" w:themeFillTint="40"/>
      </w:tcPr>
    </w:tblStylePr>
    <w:tblStylePr w:type="band2Horz">
      <w:rPr>
        <w:rFonts w:ascii="Arial" w:hAnsi="Arial"/>
        <w:color w:val="244174" w:themeColor="accent1" w:themeShade="94"/>
        <w:sz w:val="22"/>
      </w:rPr>
    </w:tblStylePr>
  </w:style>
  <w:style w:type="table" w:customStyle="1" w:styleId="ListTable7Colorful-Accent2">
    <w:name w:val="List Table 7 Colorful - Accent 2"/>
    <w:basedOn w:val="a2"/>
    <w:uiPriority w:val="99"/>
    <w:qFormat/>
    <w:tblPr>
      <w:tblBorders>
        <w:right w:val="single" w:sz="4" w:space="0" w:color="F4B184" w:themeColor="accent2" w:themeTint="97"/>
      </w:tblBorders>
    </w:tblPr>
    <w:tblStylePr w:type="firstRow">
      <w:rPr>
        <w:rFonts w:ascii="Arial" w:hAnsi="Arial"/>
        <w:i/>
        <w:color w:val="F4B285" w:themeColor="accent2" w:themeTint="96"/>
        <w:sz w:val="22"/>
      </w:rPr>
      <w:tblPr/>
      <w:tcPr>
        <w:tcBorders>
          <w:top w:val="nil"/>
          <w:left w:val="nil"/>
          <w:bottom w:val="single" w:sz="4" w:space="0" w:color="F4B184" w:themeColor="accent2" w:themeTint="97"/>
          <w:right w:val="nil"/>
        </w:tcBorders>
        <w:shd w:val="clear" w:color="auto" w:fill="FFFFFF" w:themeFill="light1"/>
      </w:tcPr>
    </w:tblStylePr>
    <w:tblStylePr w:type="lastRow">
      <w:rPr>
        <w:rFonts w:ascii="Arial" w:hAnsi="Arial"/>
        <w:i/>
        <w:color w:val="F4B285" w:themeColor="accent2" w:themeTint="96"/>
        <w:sz w:val="22"/>
      </w:rPr>
      <w:tblPr/>
      <w:tcPr>
        <w:tcBorders>
          <w:top w:val="single" w:sz="4" w:space="0" w:color="F4B184" w:themeColor="accent2" w:themeTint="97"/>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auto" w:fill="FFFFFF"/>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auto" w:fill="FFFFFF"/>
      </w:tcPr>
    </w:tblStylePr>
    <w:tblStylePr w:type="band1Vert">
      <w:tblPr/>
      <w:tcPr>
        <w:shd w:val="clear" w:color="auto" w:fill="FADECB" w:themeFill="accent2" w:themeFillTint="40"/>
      </w:tcPr>
    </w:tblStylePr>
    <w:tblStylePr w:type="band1Horz">
      <w:rPr>
        <w:rFonts w:ascii="Arial" w:hAnsi="Arial"/>
        <w:color w:val="F4B285" w:themeColor="accent2" w:themeTint="96"/>
        <w:sz w:val="22"/>
      </w:rPr>
      <w:tblPr/>
      <w:tcPr>
        <w:shd w:val="clear" w:color="auto" w:fill="FADECB" w:themeFill="accent2" w:themeFillTint="40"/>
      </w:tcPr>
    </w:tblStylePr>
    <w:tblStylePr w:type="band2Horz">
      <w:rPr>
        <w:rFonts w:ascii="Arial" w:hAnsi="Arial"/>
        <w:color w:val="F4B285" w:themeColor="accent2" w:themeTint="96"/>
        <w:sz w:val="22"/>
      </w:rPr>
    </w:tblStylePr>
  </w:style>
  <w:style w:type="table" w:customStyle="1" w:styleId="ListTable7Colorful-Accent3">
    <w:name w:val="List Table 7 Colorful - Accent 3"/>
    <w:basedOn w:val="a2"/>
    <w:uiPriority w:val="99"/>
    <w:qFormat/>
    <w:tblPr>
      <w:tblBorders>
        <w:right w:val="single" w:sz="4" w:space="0" w:color="C9C9C9" w:themeColor="accent3" w:themeTint="98"/>
      </w:tblBorders>
    </w:tblPr>
    <w:tblStylePr w:type="firstRow">
      <w:rPr>
        <w:rFonts w:ascii="Arial" w:hAnsi="Arial"/>
        <w:i/>
        <w:color w:val="C9C9C9" w:themeColor="accent3" w:themeTint="99"/>
        <w:sz w:val="22"/>
      </w:rPr>
      <w:tblPr/>
      <w:tcPr>
        <w:tcBorders>
          <w:top w:val="nil"/>
          <w:left w:val="nil"/>
          <w:bottom w:val="single" w:sz="4" w:space="0" w:color="C9C9C9" w:themeColor="accent3" w:themeTint="98"/>
          <w:right w:val="nil"/>
        </w:tcBorders>
        <w:shd w:val="clear" w:color="auto" w:fill="FFFFFF" w:themeFill="light1"/>
      </w:tcPr>
    </w:tblStylePr>
    <w:tblStylePr w:type="lastRow">
      <w:rPr>
        <w:rFonts w:ascii="Arial" w:hAnsi="Arial"/>
        <w:i/>
        <w:color w:val="C9C9C9" w:themeColor="accent3" w:themeTint="99"/>
        <w:sz w:val="22"/>
      </w:rPr>
      <w:tblPr/>
      <w:tcPr>
        <w:tcBorders>
          <w:top w:val="single" w:sz="4" w:space="0" w:color="C9C9C9" w:themeColor="accent3" w:themeTint="98"/>
          <w:left w:val="nil"/>
          <w:bottom w:val="nil"/>
          <w:right w:val="nil"/>
        </w:tcBorders>
        <w:shd w:val="clear" w:color="auto" w:fill="FFFFFF" w:themeFill="light1"/>
      </w:tcPr>
    </w:tblStylePr>
    <w:tblStylePr w:type="firstCol">
      <w:pPr>
        <w:jc w:val="right"/>
      </w:pPr>
      <w:rPr>
        <w:rFonts w:ascii="Arial" w:hAnsi="Arial"/>
        <w:i/>
        <w:color w:val="C9C9C9" w:themeColor="accent3" w:themeTint="99"/>
        <w:sz w:val="22"/>
      </w:rPr>
      <w:tblPr/>
      <w:tcPr>
        <w:tcBorders>
          <w:top w:val="nil"/>
          <w:left w:val="nil"/>
          <w:bottom w:val="nil"/>
          <w:right w:val="single" w:sz="4" w:space="0" w:color="C9C9C9" w:themeColor="accent3" w:themeTint="98"/>
        </w:tcBorders>
        <w:shd w:val="clear" w:color="auto" w:fill="FFFFFF"/>
      </w:tcPr>
    </w:tblStylePr>
    <w:tblStylePr w:type="lastCol">
      <w:rPr>
        <w:rFonts w:ascii="Arial" w:hAnsi="Arial"/>
        <w:i/>
        <w:color w:val="C9C9C9" w:themeColor="accent3" w:themeTint="99"/>
        <w:sz w:val="22"/>
      </w:rPr>
      <w:tblPr/>
      <w:tcPr>
        <w:tcBorders>
          <w:top w:val="nil"/>
          <w:left w:val="single" w:sz="4" w:space="0" w:color="C9C9C9" w:themeColor="accent3" w:themeTint="98"/>
          <w:bottom w:val="nil"/>
          <w:right w:val="nil"/>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9"/>
        <w:sz w:val="22"/>
      </w:rPr>
      <w:tblPr/>
      <w:tcPr>
        <w:shd w:val="clear" w:color="auto" w:fill="E8E8E8" w:themeFill="accent3" w:themeFillTint="40"/>
      </w:tcPr>
    </w:tblStylePr>
    <w:tblStylePr w:type="band2Horz">
      <w:rPr>
        <w:rFonts w:ascii="Arial" w:hAnsi="Arial"/>
        <w:color w:val="C9C9C9" w:themeColor="accent3" w:themeTint="99"/>
        <w:sz w:val="22"/>
      </w:rPr>
    </w:tblStylePr>
  </w:style>
  <w:style w:type="table" w:customStyle="1" w:styleId="ListTable7Colorful-Accent4">
    <w:name w:val="List Table 7 Colorful - Accent 4"/>
    <w:basedOn w:val="a2"/>
    <w:uiPriority w:val="99"/>
    <w:qFormat/>
    <w:tblPr>
      <w:tblBorders>
        <w:right w:val="single" w:sz="4" w:space="0" w:color="FFD865" w:themeColor="accent4" w:themeTint="9A"/>
      </w:tblBorders>
    </w:tblPr>
    <w:tblStylePr w:type="firstRow">
      <w:rPr>
        <w:rFonts w:ascii="Arial" w:hAnsi="Arial"/>
        <w:i/>
        <w:color w:val="FFD966" w:themeColor="accent4" w:themeTint="99"/>
        <w:sz w:val="22"/>
      </w:rPr>
      <w:tblPr/>
      <w:tcPr>
        <w:tcBorders>
          <w:top w:val="nil"/>
          <w:left w:val="nil"/>
          <w:bottom w:val="single" w:sz="4" w:space="0" w:color="FFD865" w:themeColor="accent4" w:themeTint="9A"/>
          <w:right w:val="nil"/>
        </w:tcBorders>
        <w:shd w:val="clear" w:color="auto" w:fill="FFFFFF" w:themeFill="light1"/>
      </w:tcPr>
    </w:tblStylePr>
    <w:tblStylePr w:type="lastRow">
      <w:rPr>
        <w:rFonts w:ascii="Arial" w:hAnsi="Arial"/>
        <w:i/>
        <w:color w:val="FFD966" w:themeColor="accent4" w:themeTint="99"/>
        <w:sz w:val="22"/>
      </w:rPr>
      <w:tblPr/>
      <w:tcPr>
        <w:tcBorders>
          <w:top w:val="single" w:sz="4" w:space="0" w:color="FFD865" w:themeColor="accent4" w:themeTint="9A"/>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auto" w:fill="FFFFFF"/>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auto" w:fill="FFFFFF"/>
      </w:tcPr>
    </w:tblStylePr>
    <w:tblStylePr w:type="band1Vert">
      <w:tblPr/>
      <w:tcPr>
        <w:shd w:val="clear" w:color="auto" w:fill="FFEFBF" w:themeFill="accent4" w:themeFillTint="40"/>
      </w:tcPr>
    </w:tblStylePr>
    <w:tblStylePr w:type="band1Horz">
      <w:rPr>
        <w:rFonts w:ascii="Arial" w:hAnsi="Arial"/>
        <w:color w:val="FFD966" w:themeColor="accent4" w:themeTint="99"/>
        <w:sz w:val="22"/>
      </w:rPr>
      <w:tblPr/>
      <w:tcPr>
        <w:shd w:val="clear" w:color="auto" w:fill="FFEFBF" w:themeFill="accent4" w:themeFillTint="40"/>
      </w:tcPr>
    </w:tblStylePr>
    <w:tblStylePr w:type="band2Horz">
      <w:rPr>
        <w:rFonts w:ascii="Arial" w:hAnsi="Arial"/>
        <w:color w:val="FFD966" w:themeColor="accent4" w:themeTint="99"/>
        <w:sz w:val="22"/>
      </w:rPr>
    </w:tblStylePr>
  </w:style>
  <w:style w:type="table" w:customStyle="1" w:styleId="ListTable7Colorful-Accent5">
    <w:name w:val="List Table 7 Colorful - Accent 5"/>
    <w:basedOn w:val="a2"/>
    <w:uiPriority w:val="99"/>
    <w:qFormat/>
    <w:tblPr>
      <w:tblBorders>
        <w:right w:val="single" w:sz="4" w:space="0" w:color="9BC2E5" w:themeColor="accent5" w:themeTint="9A"/>
      </w:tblBorders>
    </w:tblPr>
    <w:tblStylePr w:type="firstRow">
      <w:rPr>
        <w:rFonts w:ascii="Arial" w:hAnsi="Arial"/>
        <w:i/>
        <w:color w:val="9CC2E5" w:themeColor="accent5" w:themeTint="99"/>
        <w:sz w:val="22"/>
      </w:rPr>
      <w:tblPr/>
      <w:tcPr>
        <w:tcBorders>
          <w:top w:val="nil"/>
          <w:left w:val="nil"/>
          <w:bottom w:val="single" w:sz="4" w:space="0" w:color="9BC2E5" w:themeColor="accent5" w:themeTint="9A"/>
          <w:right w:val="nil"/>
        </w:tcBorders>
        <w:shd w:val="clear" w:color="auto" w:fill="FFFFFF" w:themeFill="light1"/>
      </w:tcPr>
    </w:tblStylePr>
    <w:tblStylePr w:type="lastRow">
      <w:rPr>
        <w:rFonts w:ascii="Arial" w:hAnsi="Arial"/>
        <w:i/>
        <w:color w:val="9CC2E5" w:themeColor="accent5" w:themeTint="99"/>
        <w:sz w:val="22"/>
      </w:rPr>
      <w:tblPr/>
      <w:tcPr>
        <w:tcBorders>
          <w:top w:val="single" w:sz="4" w:space="0" w:color="9BC2E5" w:themeColor="accent5" w:themeTint="9A"/>
          <w:left w:val="nil"/>
          <w:bottom w:val="nil"/>
          <w:right w:val="nil"/>
        </w:tcBorders>
        <w:shd w:val="clear" w:color="auto" w:fill="FFFFFF" w:themeFill="light1"/>
      </w:tcPr>
    </w:tblStylePr>
    <w:tblStylePr w:type="firstCol">
      <w:pPr>
        <w:jc w:val="right"/>
      </w:pPr>
      <w:rPr>
        <w:rFonts w:ascii="Arial" w:hAnsi="Arial"/>
        <w:i/>
        <w:color w:val="9CC2E5" w:themeColor="accent5" w:themeTint="99"/>
        <w:sz w:val="22"/>
      </w:rPr>
      <w:tblPr/>
      <w:tcPr>
        <w:tcBorders>
          <w:top w:val="nil"/>
          <w:left w:val="nil"/>
          <w:bottom w:val="nil"/>
          <w:right w:val="single" w:sz="4" w:space="0" w:color="9BC2E5" w:themeColor="accent5" w:themeTint="9A"/>
        </w:tcBorders>
        <w:shd w:val="clear" w:color="auto" w:fill="FFFFFF"/>
      </w:tcPr>
    </w:tblStylePr>
    <w:tblStylePr w:type="lastCol">
      <w:rPr>
        <w:rFonts w:ascii="Arial" w:hAnsi="Arial"/>
        <w:i/>
        <w:color w:val="9CC2E5" w:themeColor="accent5" w:themeTint="99"/>
        <w:sz w:val="22"/>
      </w:rPr>
      <w:tblPr/>
      <w:tcPr>
        <w:tcBorders>
          <w:top w:val="nil"/>
          <w:left w:val="single" w:sz="4" w:space="0" w:color="9BC2E5" w:themeColor="accent5" w:themeTint="9A"/>
          <w:bottom w:val="nil"/>
          <w:right w:val="nil"/>
        </w:tcBorders>
        <w:shd w:val="clear" w:color="auto" w:fill="FFFFFF"/>
      </w:tcPr>
    </w:tblStylePr>
    <w:tblStylePr w:type="band1Vert">
      <w:tblPr/>
      <w:tcPr>
        <w:shd w:val="clear" w:color="auto" w:fill="D5E5F4" w:themeFill="accent5" w:themeFillTint="40"/>
      </w:tcPr>
    </w:tblStylePr>
    <w:tblStylePr w:type="band1Horz">
      <w:rPr>
        <w:rFonts w:ascii="Arial" w:hAnsi="Arial"/>
        <w:color w:val="9CC2E5" w:themeColor="accent5" w:themeTint="99"/>
        <w:sz w:val="22"/>
      </w:rPr>
      <w:tblPr/>
      <w:tcPr>
        <w:shd w:val="clear" w:color="auto" w:fill="D5E5F4" w:themeFill="accent5" w:themeFillTint="40"/>
      </w:tcPr>
    </w:tblStylePr>
    <w:tblStylePr w:type="band2Horz">
      <w:rPr>
        <w:rFonts w:ascii="Arial" w:hAnsi="Arial"/>
        <w:color w:val="9CC2E5" w:themeColor="accent5" w:themeTint="99"/>
        <w:sz w:val="22"/>
      </w:rPr>
    </w:tblStylePr>
  </w:style>
  <w:style w:type="table" w:customStyle="1" w:styleId="ListTable7Colorful-Accent6">
    <w:name w:val="List Table 7 Colorful - Accent 6"/>
    <w:basedOn w:val="a2"/>
    <w:uiPriority w:val="99"/>
    <w:qFormat/>
    <w:tblPr>
      <w:tblBorders>
        <w:right w:val="single" w:sz="4" w:space="0" w:color="A9D08E" w:themeColor="accent6" w:themeTint="98"/>
      </w:tblBorders>
    </w:tblPr>
    <w:tblStylePr w:type="firstRow">
      <w:rPr>
        <w:rFonts w:ascii="Arial" w:hAnsi="Arial"/>
        <w:i/>
        <w:color w:val="A8D08D" w:themeColor="accent6" w:themeTint="99"/>
        <w:sz w:val="22"/>
      </w:rPr>
      <w:tblPr/>
      <w:tcPr>
        <w:tcBorders>
          <w:top w:val="nil"/>
          <w:left w:val="nil"/>
          <w:bottom w:val="single" w:sz="4" w:space="0" w:color="A9D08E" w:themeColor="accent6" w:themeTint="98"/>
          <w:right w:val="nil"/>
        </w:tcBorders>
        <w:shd w:val="clear" w:color="auto" w:fill="FFFFFF" w:themeFill="light1"/>
      </w:tcPr>
    </w:tblStylePr>
    <w:tblStylePr w:type="lastRow">
      <w:rPr>
        <w:rFonts w:ascii="Arial" w:hAnsi="Arial"/>
        <w:i/>
        <w:color w:val="A8D08D" w:themeColor="accent6" w:themeTint="99"/>
        <w:sz w:val="22"/>
      </w:rPr>
      <w:tblPr/>
      <w:tcPr>
        <w:tcBorders>
          <w:top w:val="single" w:sz="4" w:space="0" w:color="A9D08E" w:themeColor="accent6" w:themeTint="98"/>
          <w:left w:val="nil"/>
          <w:bottom w:val="nil"/>
          <w:right w:val="nil"/>
        </w:tcBorders>
        <w:shd w:val="clear" w:color="auto" w:fill="FFFFFF" w:themeFill="light1"/>
      </w:tcPr>
    </w:tblStylePr>
    <w:tblStylePr w:type="firstCol">
      <w:pPr>
        <w:jc w:val="right"/>
      </w:pPr>
      <w:rPr>
        <w:rFonts w:ascii="Arial" w:hAnsi="Arial"/>
        <w:i/>
        <w:color w:val="A8D08D" w:themeColor="accent6" w:themeTint="99"/>
        <w:sz w:val="22"/>
      </w:rPr>
      <w:tblPr/>
      <w:tcPr>
        <w:tcBorders>
          <w:top w:val="nil"/>
          <w:left w:val="nil"/>
          <w:bottom w:val="nil"/>
          <w:right w:val="single" w:sz="4" w:space="0" w:color="A9D08E" w:themeColor="accent6" w:themeTint="98"/>
        </w:tcBorders>
        <w:shd w:val="clear" w:color="auto" w:fill="FFFFFF"/>
      </w:tcPr>
    </w:tblStylePr>
    <w:tblStylePr w:type="lastCol">
      <w:rPr>
        <w:rFonts w:ascii="Arial" w:hAnsi="Arial"/>
        <w:i/>
        <w:color w:val="A8D08D" w:themeColor="accent6" w:themeTint="99"/>
        <w:sz w:val="22"/>
      </w:rPr>
      <w:tblPr/>
      <w:tcPr>
        <w:tcBorders>
          <w:top w:val="nil"/>
          <w:left w:val="single" w:sz="4" w:space="0" w:color="A9D08E" w:themeColor="accent6" w:themeTint="98"/>
          <w:bottom w:val="nil"/>
          <w:right w:val="nil"/>
        </w:tcBorders>
        <w:shd w:val="clear" w:color="auto" w:fill="FFFFFF"/>
      </w:tcPr>
    </w:tblStylePr>
    <w:tblStylePr w:type="band1Vert">
      <w:tblPr/>
      <w:tcPr>
        <w:shd w:val="clear" w:color="auto" w:fill="DAEBCF" w:themeFill="accent6" w:themeFillTint="40"/>
      </w:tcPr>
    </w:tblStylePr>
    <w:tblStylePr w:type="band1Horz">
      <w:rPr>
        <w:rFonts w:ascii="Arial" w:hAnsi="Arial"/>
        <w:color w:val="A8D08D" w:themeColor="accent6" w:themeTint="99"/>
        <w:sz w:val="22"/>
      </w:rPr>
      <w:tblPr/>
      <w:tcPr>
        <w:shd w:val="clear" w:color="auto" w:fill="DAEBCF" w:themeFill="accent6" w:themeFillTint="40"/>
      </w:tcPr>
    </w:tblStylePr>
    <w:tblStylePr w:type="band2Horz">
      <w:rPr>
        <w:rFonts w:ascii="Arial" w:hAnsi="Arial"/>
        <w:color w:val="A8D08D" w:themeColor="accent6" w:themeTint="99"/>
        <w:sz w:val="22"/>
      </w:rPr>
    </w:tblStylePr>
  </w:style>
  <w:style w:type="table" w:customStyle="1" w:styleId="Lined-Accent">
    <w:name w:val="Lined - Accent"/>
    <w:basedOn w:val="a2"/>
    <w:uiPriority w:val="99"/>
    <w:qFormat/>
    <w:rPr>
      <w:color w:val="404040"/>
      <w:lang w:eastAsia="en-US"/>
    </w:rP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qFormat/>
    <w:rPr>
      <w:color w:val="404040"/>
      <w:lang w:eastAsia="en-US"/>
    </w:rPr>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qFormat/>
    <w:rPr>
      <w:color w:val="404040"/>
      <w:lang w:eastAsia="en-US"/>
    </w:rPr>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qFormat/>
    <w:rPr>
      <w:color w:val="404040"/>
      <w:lang w:eastAsia="en-US"/>
    </w:rPr>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qFormat/>
    <w:rPr>
      <w:color w:val="404040"/>
      <w:lang w:eastAsia="en-US"/>
    </w:rPr>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qFormat/>
    <w:rPr>
      <w:color w:val="404040"/>
      <w:lang w:eastAsia="en-US"/>
    </w:rPr>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qFormat/>
    <w:rPr>
      <w:color w:val="404040"/>
      <w:lang w:eastAsia="en-US"/>
    </w:rPr>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qFormat/>
    <w:rPr>
      <w:color w:val="404040"/>
      <w:lang w:eastAsia="en-US"/>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qFormat/>
    <w:rPr>
      <w:color w:val="404040"/>
      <w:lang w:eastAsia="en-US"/>
    </w:rPr>
    <w:tblPr>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qFormat/>
    <w:rPr>
      <w:color w:val="404040"/>
      <w:lang w:eastAsia="en-US"/>
    </w:rPr>
    <w:tblPr>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qFormat/>
    <w:rPr>
      <w:color w:val="404040"/>
      <w:lang w:eastAsia="en-US"/>
    </w:rPr>
    <w:tblPr>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qFormat/>
    <w:rPr>
      <w:color w:val="404040"/>
      <w:lang w:eastAsia="en-US"/>
    </w:rPr>
    <w:tblPr>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qFormat/>
    <w:rPr>
      <w:color w:val="404040"/>
      <w:lang w:eastAsia="en-US"/>
    </w:rPr>
    <w:tblPr>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qFormat/>
    <w:rPr>
      <w:color w:val="404040"/>
      <w:lang w:eastAsia="en-US"/>
    </w:rPr>
    <w:tblPr>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qFormat/>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qFormat/>
    <w:tblPr>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qFormat/>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qFormat/>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f6">
    <w:name w:val="脚注文本 字符"/>
    <w:link w:val="af5"/>
    <w:uiPriority w:val="99"/>
    <w:qFormat/>
    <w:rPr>
      <w:sz w:val="18"/>
    </w:rPr>
  </w:style>
  <w:style w:type="character" w:customStyle="1" w:styleId="ad">
    <w:name w:val="尾注文本 字符"/>
    <w:link w:val="ac"/>
    <w:uiPriority w:val="99"/>
    <w:qFormat/>
    <w:rPr>
      <w:sz w:val="20"/>
    </w:rPr>
  </w:style>
  <w:style w:type="paragraph" w:customStyle="1" w:styleId="TOC10">
    <w:name w:val="TOC 标题1"/>
    <w:uiPriority w:val="39"/>
    <w:unhideWhenUsed/>
    <w:qFormat/>
    <w:pPr>
      <w:pBdr>
        <w:top w:val="none" w:sz="0" w:space="0" w:color="000000"/>
        <w:left w:val="none" w:sz="0" w:space="0" w:color="000000"/>
        <w:bottom w:val="none" w:sz="0" w:space="0" w:color="000000"/>
        <w:right w:val="none" w:sz="0" w:space="0" w:color="000000"/>
        <w:between w:val="none" w:sz="0" w:space="0" w:color="000000"/>
      </w:pBdr>
    </w:pPr>
    <w:rPr>
      <w:szCs w:val="22"/>
    </w:rPr>
  </w:style>
  <w:style w:type="character" w:customStyle="1" w:styleId="af1">
    <w:name w:val="页脚 字符"/>
    <w:link w:val="af"/>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jc w:val="center"/>
    </w:pPr>
    <w:rPr>
      <w:b/>
      <w:lang w:eastAsia="en-US"/>
    </w:rPr>
  </w:style>
  <w:style w:type="character" w:customStyle="1" w:styleId="B3Char2">
    <w:name w:val="B3 Char2"/>
    <w:link w:val="B3"/>
    <w:qFormat/>
    <w:rPr>
      <w:rFonts w:ascii="Arial" w:hAnsi="Arial"/>
      <w:lang w:val="en-GB" w:eastAsia="en-US"/>
    </w:rPr>
  </w:style>
  <w:style w:type="paragraph" w:customStyle="1" w:styleId="B3">
    <w:name w:val="B3"/>
    <w:basedOn w:val="32"/>
    <w:link w:val="B3Char2"/>
    <w:qFormat/>
    <w:pPr>
      <w:spacing w:after="180"/>
      <w:jc w:val="left"/>
    </w:pPr>
    <w:rPr>
      <w:lang w:eastAsia="en-US"/>
    </w:rPr>
  </w:style>
  <w:style w:type="character" w:customStyle="1" w:styleId="PLChar">
    <w:name w:val="PL Char"/>
    <w:link w:val="PL"/>
    <w:qFormat/>
    <w:rPr>
      <w:rFonts w:ascii="Courier New" w:eastAsia="Times New Roman" w:hAnsi="Courier New"/>
      <w:sz w:val="16"/>
      <w:lang w:val="en-US" w:eastAsia="zh-CN" w:bidi="ar-SA"/>
    </w:rPr>
  </w:style>
  <w:style w:type="paragraph" w:customStyle="1" w:styleId="PL">
    <w:name w:val="PL"/>
    <w:link w:val="PLChar"/>
    <w:qFormat/>
    <w:pPr>
      <w:pBdr>
        <w:top w:val="none" w:sz="0" w:space="0" w:color="000000"/>
        <w:left w:val="none" w:sz="0" w:space="0" w:color="000000"/>
        <w:bottom w:val="none" w:sz="0" w:space="0" w:color="000000"/>
        <w:right w:val="none" w:sz="0" w:space="0" w:color="000000"/>
        <w:between w:val="none" w:sz="0" w:space="0" w:color="000000"/>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szCs w:val="22"/>
    </w:rPr>
  </w:style>
  <w:style w:type="character" w:customStyle="1" w:styleId="aff6">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paragraph" w:customStyle="1" w:styleId="B2">
    <w:name w:val="B2"/>
    <w:basedOn w:val="22"/>
    <w:link w:val="B2Char"/>
    <w:qFormat/>
    <w:pPr>
      <w:spacing w:after="180"/>
      <w:jc w:val="left"/>
    </w:pPr>
    <w:rPr>
      <w:lang w:eastAsia="en-US"/>
    </w:rPr>
  </w:style>
  <w:style w:type="character" w:customStyle="1" w:styleId="TALCar">
    <w:name w:val="TAL Car"/>
    <w:link w:val="TAL"/>
    <w:qFormat/>
    <w:rPr>
      <w:rFonts w:ascii="Arial" w:hAnsi="Arial"/>
      <w:sz w:val="18"/>
      <w:lang w:val="en-GB" w:eastAsia="en-US"/>
    </w:rPr>
  </w:style>
  <w:style w:type="paragraph" w:customStyle="1" w:styleId="TAL">
    <w:name w:val="TAL"/>
    <w:basedOn w:val="a0"/>
    <w:link w:val="TALCar"/>
    <w:qFormat/>
    <w:pPr>
      <w:keepNext/>
      <w:keepLines/>
      <w:spacing w:after="0"/>
      <w:jc w:val="left"/>
    </w:pPr>
    <w:rPr>
      <w:sz w:val="18"/>
      <w:lang w:eastAsia="en-US"/>
    </w:rPr>
  </w:style>
  <w:style w:type="character" w:customStyle="1" w:styleId="Doc-titleChar">
    <w:name w:val="Doc-title Char"/>
    <w:link w:val="Doc-title"/>
    <w:qFormat/>
    <w:rPr>
      <w:rFonts w:ascii="Arial" w:eastAsia="MS Mincho" w:hAnsi="Arial" w:cs="Arial"/>
      <w:sz w:val="24"/>
      <w:szCs w:val="24"/>
      <w:lang w:val="en-GB"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character" w:customStyle="1" w:styleId="st">
    <w:name w:val="st"/>
    <w:qFormat/>
  </w:style>
  <w:style w:type="character" w:customStyle="1" w:styleId="B1Char1">
    <w:name w:val="B1 Char1"/>
    <w:qFormat/>
    <w:rPr>
      <w:rFonts w:eastAsia="Times New Roman"/>
    </w:rPr>
  </w:style>
  <w:style w:type="character" w:customStyle="1" w:styleId="11">
    <w:name w:val="正文文本 字符1"/>
    <w:link w:val="a9"/>
    <w:qFormat/>
    <w:rPr>
      <w:rFonts w:ascii="Arial" w:hAnsi="Arial"/>
      <w:lang w:val="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paragraph" w:customStyle="1" w:styleId="B1">
    <w:name w:val="B1"/>
    <w:basedOn w:val="a4"/>
    <w:link w:val="B1Char"/>
    <w:qFormat/>
    <w:pPr>
      <w:spacing w:after="180"/>
      <w:jc w:val="left"/>
    </w:pPr>
    <w:rPr>
      <w:lang w:eastAsia="en-US"/>
    </w:rPr>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10">
    <w:name w:val="标题 1 字符"/>
    <w:link w:val="1"/>
    <w:qFormat/>
    <w:rPr>
      <w:rFonts w:ascii="Arial" w:hAnsi="Arial"/>
      <w:sz w:val="36"/>
      <w:szCs w:val="36"/>
      <w:lang w:val="en-GB"/>
    </w:rPr>
  </w:style>
  <w:style w:type="character" w:customStyle="1" w:styleId="B4Char">
    <w:name w:val="B4 Char"/>
    <w:link w:val="B4"/>
    <w:qFormat/>
    <w:rPr>
      <w:rFonts w:ascii="Arial" w:hAnsi="Arial"/>
      <w:lang w:val="en-GB" w:eastAsia="en-US"/>
    </w:rPr>
  </w:style>
  <w:style w:type="paragraph" w:customStyle="1" w:styleId="B4">
    <w:name w:val="B4"/>
    <w:basedOn w:val="42"/>
    <w:link w:val="B4Char"/>
    <w:qFormat/>
    <w:pPr>
      <w:spacing w:after="180"/>
      <w:jc w:val="left"/>
    </w:pPr>
    <w:rPr>
      <w:lang w:eastAsia="en-US"/>
    </w:rPr>
  </w:style>
  <w:style w:type="character" w:customStyle="1" w:styleId="ZGSM">
    <w:name w:val="ZGSM"/>
    <w:qFormat/>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qFormat/>
    <w:rPr>
      <w:rFonts w:ascii="Arial" w:eastAsia="MS Mincho" w:hAnsi="Arial"/>
      <w:b/>
      <w:sz w:val="24"/>
      <w:szCs w:val="24"/>
      <w:lang w:val="en-GB" w:eastAsia="en-GB"/>
    </w:rPr>
  </w:style>
  <w:style w:type="paragraph" w:customStyle="1" w:styleId="EmailDiscussion">
    <w:name w:val="EmailDiscussion"/>
    <w:basedOn w:val="a0"/>
    <w:next w:val="Doc-text2"/>
    <w:link w:val="EmailDiscussionChar"/>
    <w:qFormat/>
    <w:pPr>
      <w:numPr>
        <w:numId w:val="7"/>
      </w:numPr>
      <w:spacing w:before="40" w:after="0"/>
      <w:jc w:val="left"/>
    </w:pPr>
    <w:rPr>
      <w:rFonts w:eastAsia="MS Mincho"/>
      <w:b/>
      <w:sz w:val="24"/>
      <w:szCs w:val="24"/>
      <w:lang w:eastAsia="en-GB"/>
    </w:rPr>
  </w:style>
  <w:style w:type="character" w:customStyle="1" w:styleId="B5Char">
    <w:name w:val="B5 Char"/>
    <w:link w:val="B5"/>
    <w:qFormat/>
    <w:rPr>
      <w:rFonts w:ascii="Arial" w:hAnsi="Arial"/>
      <w:lang w:val="en-GB" w:eastAsia="en-US"/>
    </w:rPr>
  </w:style>
  <w:style w:type="paragraph" w:customStyle="1" w:styleId="B5">
    <w:name w:val="B5"/>
    <w:basedOn w:val="52"/>
    <w:link w:val="B5Char"/>
    <w:qFormat/>
    <w:pPr>
      <w:spacing w:after="180"/>
      <w:jc w:val="left"/>
    </w:pPr>
    <w:rPr>
      <w:lang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af2">
    <w:name w:val="页眉 字符"/>
    <w:link w:val="af0"/>
    <w:uiPriority w:val="99"/>
    <w:qFormat/>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pBdr>
        <w:top w:val="none" w:sz="0" w:space="0" w:color="000000"/>
        <w:left w:val="none" w:sz="0" w:space="0" w:color="000000"/>
        <w:bottom w:val="none" w:sz="0" w:space="0" w:color="000000"/>
        <w:right w:val="none" w:sz="0" w:space="0" w:color="000000"/>
        <w:between w:val="none" w:sz="0" w:space="0" w:color="000000"/>
      </w:pBdr>
      <w:spacing w:after="120"/>
    </w:pPr>
    <w:rPr>
      <w:rFonts w:ascii="Arial" w:hAnsi="Arial"/>
      <w:szCs w:val="22"/>
      <w:lang w:val="en-GB" w:eastAsia="en-US"/>
    </w:rPr>
  </w:style>
  <w:style w:type="character" w:customStyle="1" w:styleId="NOChar">
    <w:name w:val="NO Char"/>
    <w:link w:val="NO"/>
    <w:qFormat/>
    <w:rPr>
      <w:rFonts w:ascii="Times New Roman" w:eastAsia="Times New Roman" w:hAnsi="Times New Roman"/>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character" w:customStyle="1" w:styleId="aff7">
    <w:name w:val="正文文本 字符"/>
    <w:qFormat/>
    <w:rPr>
      <w:rFonts w:ascii="Arial" w:hAnsi="Arial"/>
      <w:lang w:val="en-GB"/>
    </w:rPr>
  </w:style>
  <w:style w:type="paragraph" w:customStyle="1" w:styleId="ZG">
    <w:name w:val="ZG"/>
    <w:qFormat/>
    <w:pPr>
      <w:framePr w:wrap="notBeside" w:vAnchor="page" w:hAnchor="margin" w:xAlign="right" w:y="6805"/>
      <w:widowControl w:val="0"/>
      <w:pBdr>
        <w:top w:val="none" w:sz="0" w:space="0" w:color="000000"/>
        <w:left w:val="none" w:sz="0" w:space="0" w:color="000000"/>
        <w:bottom w:val="none" w:sz="0" w:space="0" w:color="000000"/>
        <w:right w:val="none" w:sz="0" w:space="0" w:color="000000"/>
        <w:between w:val="none" w:sz="0" w:space="0" w:color="000000"/>
      </w:pBdr>
      <w:jc w:val="right"/>
    </w:pPr>
    <w:rPr>
      <w:rFonts w:ascii="Arial" w:hAnsi="Arial"/>
      <w:szCs w:val="22"/>
      <w:lang w:eastAsia="en-US"/>
    </w:rPr>
  </w:style>
  <w:style w:type="paragraph" w:customStyle="1" w:styleId="Reference">
    <w:name w:val="Reference"/>
    <w:basedOn w:val="a0"/>
    <w:qFormat/>
  </w:style>
  <w:style w:type="paragraph" w:customStyle="1" w:styleId="ZD">
    <w:name w:val="ZD"/>
    <w:qFormat/>
    <w:pPr>
      <w:framePr w:wrap="notBeside" w:vAnchor="page" w:hAnchor="margin" w:y="15764"/>
      <w:widowControl w:val="0"/>
      <w:pBdr>
        <w:top w:val="none" w:sz="0" w:space="0" w:color="000000"/>
        <w:left w:val="none" w:sz="0" w:space="0" w:color="000000"/>
        <w:bottom w:val="none" w:sz="0" w:space="0" w:color="000000"/>
        <w:right w:val="none" w:sz="0" w:space="0" w:color="000000"/>
        <w:between w:val="none" w:sz="0" w:space="0" w:color="000000"/>
      </w:pBdr>
    </w:pPr>
    <w:rPr>
      <w:rFonts w:ascii="Arial" w:hAnsi="Arial"/>
      <w:sz w:val="32"/>
      <w:szCs w:val="22"/>
      <w:lang w:eastAsia="en-US"/>
    </w:rPr>
  </w:style>
  <w:style w:type="paragraph" w:customStyle="1" w:styleId="TAN">
    <w:name w:val="TAN"/>
    <w:basedOn w:val="TAL"/>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pBdr>
        <w:top w:val="none" w:sz="0" w:space="0" w:color="000000"/>
        <w:left w:val="none" w:sz="0" w:space="0" w:color="000000"/>
        <w:bottom w:val="none" w:sz="0" w:space="0" w:color="000000"/>
        <w:right w:val="none" w:sz="0" w:space="0" w:color="000000"/>
        <w:between w:val="none" w:sz="0" w:space="0" w:color="000000"/>
      </w:pBdr>
      <w:ind w:right="28"/>
      <w:jc w:val="right"/>
    </w:pPr>
    <w:rPr>
      <w:rFonts w:ascii="Arial" w:hAnsi="Arial"/>
      <w:i/>
      <w:szCs w:val="22"/>
      <w:lang w:eastAsia="en-US"/>
    </w:rPr>
  </w:style>
  <w:style w:type="paragraph" w:customStyle="1" w:styleId="ZU">
    <w:name w:val="ZU"/>
    <w:qFormat/>
    <w:pPr>
      <w:framePr w:w="10206" w:wrap="notBeside" w:vAnchor="page" w:hAnchor="margin" w:y="6238"/>
      <w:widowControl w:val="0"/>
      <w:pBdr>
        <w:top w:val="single" w:sz="12" w:space="1" w:color="auto"/>
        <w:left w:val="none" w:sz="0" w:space="0" w:color="000000"/>
        <w:bottom w:val="none" w:sz="0" w:space="0" w:color="000000"/>
        <w:right w:val="none" w:sz="0" w:space="0" w:color="000000"/>
        <w:between w:val="none" w:sz="0" w:space="0" w:color="000000"/>
      </w:pBdr>
      <w:jc w:val="right"/>
    </w:pPr>
    <w:rPr>
      <w:rFonts w:ascii="Arial" w:hAnsi="Arial"/>
      <w:szCs w:val="22"/>
      <w:lang w:eastAsia="en-US"/>
    </w:rPr>
  </w:style>
  <w:style w:type="paragraph" w:customStyle="1" w:styleId="ZV">
    <w:name w:val="ZV"/>
    <w:basedOn w:val="ZU"/>
    <w:qFormat/>
    <w:pPr>
      <w:framePr w:wrap="notBeside" w:y="16161"/>
    </w:pPr>
  </w:style>
  <w:style w:type="paragraph" w:customStyle="1" w:styleId="EX">
    <w:name w:val="EX"/>
    <w:basedOn w:val="a0"/>
    <w:link w:val="EXChar"/>
    <w:qFormat/>
    <w:pPr>
      <w:keepLines/>
      <w:spacing w:after="180"/>
      <w:ind w:left="1702" w:hanging="1418"/>
      <w:jc w:val="left"/>
    </w:pPr>
    <w:rPr>
      <w:lang w:eastAsia="en-US"/>
    </w:rPr>
  </w:style>
  <w:style w:type="paragraph" w:customStyle="1" w:styleId="ZH">
    <w:name w:val="ZH"/>
    <w:qFormat/>
    <w:pPr>
      <w:framePr w:wrap="notBeside" w:vAnchor="page" w:hAnchor="margin" w:xAlign="center" w:y="6805"/>
      <w:widowControl w:val="0"/>
      <w:pBdr>
        <w:top w:val="none" w:sz="0" w:space="0" w:color="000000"/>
        <w:left w:val="none" w:sz="0" w:space="0" w:color="000000"/>
        <w:bottom w:val="none" w:sz="0" w:space="0" w:color="000000"/>
        <w:right w:val="none" w:sz="0" w:space="0" w:color="000000"/>
        <w:between w:val="none" w:sz="0" w:space="0" w:color="000000"/>
      </w:pBdr>
    </w:pPr>
    <w:rPr>
      <w:rFonts w:ascii="Arial" w:hAnsi="Arial"/>
      <w:szCs w:val="22"/>
      <w:lang w:eastAsia="en-US"/>
    </w:rPr>
  </w:style>
  <w:style w:type="paragraph" w:customStyle="1" w:styleId="3GPPHeader">
    <w:name w:val="3GPP_Header"/>
    <w:basedOn w:val="a0"/>
    <w:qFormat/>
    <w:pPr>
      <w:tabs>
        <w:tab w:val="left" w:pos="1701"/>
        <w:tab w:val="right" w:pos="9639"/>
      </w:tabs>
      <w:spacing w:after="240"/>
    </w:pPr>
    <w:rPr>
      <w:b/>
      <w:sz w:val="24"/>
    </w:rPr>
  </w:style>
  <w:style w:type="paragraph" w:customStyle="1" w:styleId="16">
    <w:name w:val="列表段落1"/>
    <w:basedOn w:val="a0"/>
    <w:link w:val="aff8"/>
    <w:uiPriority w:val="34"/>
    <w:qFormat/>
    <w:pPr>
      <w:ind w:left="720"/>
      <w:contextualSpacing/>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spacing w:after="180"/>
      <w:jc w:val="left"/>
    </w:pPr>
    <w:rPr>
      <w:lang w:val="en-US" w:eastAsia="en-US"/>
    </w:rPr>
  </w:style>
  <w:style w:type="paragraph" w:customStyle="1" w:styleId="Figure">
    <w:name w:val="Figure"/>
    <w:basedOn w:val="a0"/>
    <w:next w:val="aa"/>
    <w:qFormat/>
    <w:pPr>
      <w:keepNext/>
      <w:keepLines/>
      <w:spacing w:before="180"/>
      <w:jc w:val="center"/>
    </w:pPr>
  </w:style>
  <w:style w:type="paragraph" w:customStyle="1" w:styleId="FP">
    <w:name w:val="FP"/>
    <w:basedOn w:val="a0"/>
    <w:qFormat/>
    <w:pPr>
      <w:spacing w:after="0"/>
      <w:jc w:val="left"/>
    </w:pPr>
    <w:rPr>
      <w:lang w:eastAsia="en-US"/>
    </w:rPr>
  </w:style>
  <w:style w:type="paragraph" w:customStyle="1" w:styleId="Proposal">
    <w:name w:val="Proposal"/>
    <w:basedOn w:val="a0"/>
    <w:qFormat/>
    <w:pPr>
      <w:numPr>
        <w:numId w:val="8"/>
      </w:numPr>
      <w:tabs>
        <w:tab w:val="left" w:pos="1701"/>
      </w:tabs>
    </w:pPr>
    <w:rPr>
      <w:b/>
      <w:bC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Observation">
    <w:name w:val="Observation"/>
    <w:basedOn w:val="Proposal"/>
    <w:qFormat/>
    <w:pPr>
      <w:numPr>
        <w:numId w:val="9"/>
      </w:numPr>
      <w:tabs>
        <w:tab w:val="left" w:pos="1304"/>
      </w:tabs>
    </w:pPr>
  </w:style>
  <w:style w:type="paragraph" w:customStyle="1" w:styleId="EmailDiscussion2">
    <w:name w:val="EmailDiscussion2"/>
    <w:basedOn w:val="Doc-text2"/>
    <w:qFormat/>
  </w:style>
  <w:style w:type="paragraph" w:customStyle="1" w:styleId="TAR">
    <w:name w:val="TAR"/>
    <w:basedOn w:val="TAL"/>
    <w:qFormat/>
    <w:pPr>
      <w:jc w:val="right"/>
    </w:pPr>
  </w:style>
  <w:style w:type="paragraph" w:customStyle="1" w:styleId="ZT">
    <w:name w:val="ZT"/>
    <w:qFormat/>
    <w:pPr>
      <w:framePr w:wrap="notBeside" w:hAnchor="margin" w:yAlign="center"/>
      <w:widowControl w:val="0"/>
      <w:pBdr>
        <w:top w:val="none" w:sz="0" w:space="0" w:color="000000"/>
        <w:left w:val="none" w:sz="0" w:space="0" w:color="000000"/>
        <w:bottom w:val="none" w:sz="0" w:space="0" w:color="000000"/>
        <w:right w:val="none" w:sz="0" w:space="0" w:color="000000"/>
        <w:between w:val="none" w:sz="0" w:space="0" w:color="000000"/>
      </w:pBdr>
      <w:spacing w:line="240" w:lineRule="atLeast"/>
      <w:jc w:val="right"/>
    </w:pPr>
    <w:rPr>
      <w:rFonts w:ascii="Arial" w:hAnsi="Arial"/>
      <w:b/>
      <w:sz w:val="34"/>
      <w:szCs w:val="22"/>
      <w:lang w:val="en-GB" w:eastAsia="en-US"/>
    </w:rPr>
  </w:style>
  <w:style w:type="paragraph" w:customStyle="1" w:styleId="TT">
    <w:name w:val="TT"/>
    <w:basedOn w:val="1"/>
    <w:next w:val="a0"/>
    <w:qFormat/>
    <w:pPr>
      <w:numPr>
        <w:numId w:val="0"/>
      </w:numPr>
      <w:ind w:left="1134" w:hanging="1134"/>
      <w:outlineLvl w:val="9"/>
    </w:pPr>
    <w:rPr>
      <w:sz w:val="20"/>
      <w:szCs w:val="20"/>
      <w:lang w:eastAsia="en-US"/>
    </w:rPr>
  </w:style>
  <w:style w:type="paragraph" w:customStyle="1" w:styleId="ZA">
    <w:name w:val="ZA"/>
    <w:qFormat/>
    <w:pPr>
      <w:framePr w:w="10206" w:h="794" w:hRule="exact" w:wrap="notBeside" w:vAnchor="page" w:hAnchor="margin" w:y="1135"/>
      <w:widowControl w:val="0"/>
      <w:pBdr>
        <w:top w:val="none" w:sz="0" w:space="0" w:color="000000"/>
        <w:left w:val="none" w:sz="0" w:space="0" w:color="000000"/>
        <w:bottom w:val="single" w:sz="12" w:space="1" w:color="auto"/>
        <w:right w:val="none" w:sz="0" w:space="0" w:color="000000"/>
        <w:between w:val="none" w:sz="0" w:space="0" w:color="000000"/>
      </w:pBdr>
      <w:jc w:val="right"/>
    </w:pPr>
    <w:rPr>
      <w:rFonts w:ascii="Arial" w:hAnsi="Arial"/>
      <w:sz w:val="40"/>
      <w:szCs w:val="22"/>
      <w:lang w:eastAsia="en-US"/>
    </w:rPr>
  </w:style>
  <w:style w:type="paragraph" w:customStyle="1" w:styleId="textintend2">
    <w:name w:val="text intend 2"/>
    <w:basedOn w:val="a0"/>
    <w:qFormat/>
    <w:pPr>
      <w:numPr>
        <w:numId w:val="10"/>
      </w:numPr>
    </w:pPr>
    <w:rPr>
      <w:rFonts w:ascii="Times New Roman" w:eastAsia="MS Mincho" w:hAnsi="Times New Roman"/>
      <w:sz w:val="24"/>
      <w:lang w:val="en-US" w:eastAsia="en-GB"/>
    </w:rPr>
  </w:style>
  <w:style w:type="paragraph" w:customStyle="1" w:styleId="CommentSubject1">
    <w:name w:val="Comment Subject1"/>
    <w:basedOn w:val="a6"/>
    <w:next w:val="a6"/>
    <w:semiHidden/>
    <w:qFormat/>
    <w:pPr>
      <w:numPr>
        <w:numId w:val="11"/>
      </w:numPr>
      <w:tabs>
        <w:tab w:val="clear" w:pos="851"/>
      </w:tabs>
      <w:spacing w:after="180"/>
      <w:ind w:left="0" w:firstLine="0"/>
      <w:jc w:val="left"/>
    </w:pPr>
    <w:rPr>
      <w:rFonts w:ascii="Times New Roman" w:eastAsia="MS Mincho" w:hAnsi="Times New Roman"/>
      <w:b/>
      <w:bCs/>
      <w:lang w:eastAsia="en-US"/>
    </w:rPr>
  </w:style>
  <w:style w:type="character" w:customStyle="1" w:styleId="a7">
    <w:name w:val="批注文字 字符"/>
    <w:link w:val="a6"/>
    <w:uiPriority w:val="99"/>
    <w:qFormat/>
    <w:rPr>
      <w:rFonts w:ascii="Arial" w:hAnsi="Arial"/>
      <w:lang w:val="en-GB"/>
    </w:rPr>
  </w:style>
  <w:style w:type="paragraph" w:customStyle="1" w:styleId="textintend1">
    <w:name w:val="text intend 1"/>
    <w:basedOn w:val="a0"/>
    <w:qFormat/>
    <w:pPr>
      <w:numPr>
        <w:numId w:val="12"/>
      </w:numPr>
    </w:pPr>
    <w:rPr>
      <w:rFonts w:ascii="MS PGothic" w:eastAsia="MS PGothic" w:hAnsi="MS PGothic" w:cs="MS PGothic"/>
      <w:sz w:val="24"/>
      <w:szCs w:val="24"/>
      <w:lang w:val="en-US" w:eastAsia="ja-JP"/>
    </w:rPr>
  </w:style>
  <w:style w:type="character" w:customStyle="1" w:styleId="aff8">
    <w:name w:val="列表段落 字符"/>
    <w:link w:val="16"/>
    <w:uiPriority w:val="34"/>
    <w:qFormat/>
    <w:rPr>
      <w:rFonts w:ascii="Arial" w:hAnsi="Arial"/>
      <w:lang w:val="en-GB"/>
    </w:rPr>
  </w:style>
  <w:style w:type="paragraph" w:customStyle="1" w:styleId="Agreement">
    <w:name w:val="Agreement"/>
    <w:basedOn w:val="a0"/>
    <w:next w:val="Doc-text2"/>
    <w:uiPriority w:val="99"/>
    <w:qFormat/>
    <w:pPr>
      <w:numPr>
        <w:numId w:val="13"/>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qFormat/>
    <w:rPr>
      <w:rFonts w:ascii="Arial" w:hAnsi="Arial"/>
      <w:color w:val="FF0000"/>
      <w:lang w:val="en-GB" w:eastAsia="en-US"/>
    </w:rPr>
  </w:style>
  <w:style w:type="character" w:customStyle="1" w:styleId="17">
    <w:name w:val="占位符文本1"/>
    <w:basedOn w:val="a1"/>
    <w:uiPriority w:val="99"/>
    <w:unhideWhenUsed/>
    <w:qFormat/>
    <w:rPr>
      <w:color w:val="808080"/>
    </w:rPr>
  </w:style>
  <w:style w:type="character" w:customStyle="1" w:styleId="21">
    <w:name w:val="标题 2 字符"/>
    <w:basedOn w:val="a1"/>
    <w:link w:val="20"/>
    <w:qFormat/>
    <w:rPr>
      <w:rFonts w:ascii="Arial" w:hAnsi="Arial"/>
      <w:sz w:val="32"/>
      <w:szCs w:val="32"/>
      <w:lang w:val="en-GB"/>
    </w:rPr>
  </w:style>
  <w:style w:type="character" w:customStyle="1" w:styleId="31">
    <w:name w:val="标题 3 字符"/>
    <w:basedOn w:val="a1"/>
    <w:link w:val="30"/>
    <w:qFormat/>
    <w:rPr>
      <w:rFonts w:ascii="Arial" w:hAnsi="Arial"/>
      <w:sz w:val="28"/>
      <w:szCs w:val="28"/>
      <w:lang w:val="en-GB"/>
    </w:rPr>
  </w:style>
  <w:style w:type="paragraph" w:customStyle="1" w:styleId="18">
    <w:name w:val="修订1"/>
    <w:hidden/>
    <w:uiPriority w:val="99"/>
    <w:unhideWhenUsed/>
    <w:qFormat/>
    <w:pPr>
      <w:pBdr>
        <w:top w:val="none" w:sz="0" w:space="0" w:color="000000"/>
        <w:left w:val="none" w:sz="0" w:space="0" w:color="000000"/>
        <w:bottom w:val="none" w:sz="0" w:space="0" w:color="000000"/>
        <w:right w:val="none" w:sz="0" w:space="0" w:color="000000"/>
        <w:between w:val="none" w:sz="0" w:space="0" w:color="000000"/>
      </w:pBdr>
    </w:pPr>
    <w:rPr>
      <w:rFonts w:ascii="Arial" w:hAnsi="Arial"/>
      <w:szCs w:val="22"/>
      <w:lang w:val="en-GB"/>
    </w:rPr>
  </w:style>
  <w:style w:type="paragraph" w:customStyle="1" w:styleId="NF">
    <w:name w:val="NF"/>
    <w:basedOn w:val="NO"/>
    <w:qFormat/>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Pr>
      <w:rFonts w:ascii="Arial" w:hAnsi="Arial"/>
      <w:sz w:val="18"/>
      <w:lang w:val="en-GB" w:eastAsia="en-US"/>
    </w:rPr>
  </w:style>
  <w:style w:type="paragraph" w:customStyle="1" w:styleId="Comments">
    <w:name w:val="Comments"/>
    <w:basedOn w:val="a0"/>
    <w:link w:val="CommentsChar"/>
    <w:qFormat/>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Zchn">
    <w:name w:val="NO Zchn"/>
    <w:qFormat/>
    <w:rPr>
      <w:lang w:eastAsia="en-US"/>
    </w:rPr>
  </w:style>
  <w:style w:type="paragraph" w:customStyle="1" w:styleId="DECISION">
    <w:name w:val="DECISION"/>
    <w:basedOn w:val="a0"/>
    <w:qFormat/>
    <w:pPr>
      <w:widowControl w:val="0"/>
      <w:numPr>
        <w:numId w:val="14"/>
      </w:numPr>
      <w:pBdr>
        <w:top w:val="none" w:sz="0" w:space="0" w:color="auto"/>
        <w:left w:val="none" w:sz="0" w:space="0" w:color="auto"/>
        <w:bottom w:val="none" w:sz="0" w:space="0" w:color="auto"/>
        <w:right w:val="none" w:sz="0" w:space="0" w:color="auto"/>
        <w:between w:val="none" w:sz="0" w:space="0" w:color="auto"/>
      </w:pBdr>
      <w:spacing w:before="120"/>
    </w:pPr>
    <w:rPr>
      <w:rFonts w:eastAsia="Batang"/>
      <w:b/>
      <w:color w:val="0000FF"/>
      <w:szCs w:val="20"/>
      <w:u w:val="single"/>
      <w:lang w:eastAsia="en-US"/>
    </w:rPr>
  </w:style>
  <w:style w:type="character" w:customStyle="1" w:styleId="EXChar">
    <w:name w:val="EX Char"/>
    <w:link w:val="EX"/>
    <w:qFormat/>
    <w:locked/>
    <w:rPr>
      <w:rFonts w:ascii="Arial" w:hAnsi="Arial"/>
      <w:lang w:val="en-GB" w:eastAsia="en-US"/>
    </w:rPr>
  </w:style>
  <w:style w:type="table" w:customStyle="1" w:styleId="5-31">
    <w:name w:val="网格表 5 深色 - 着色 31"/>
    <w:basedOn w:val="a2"/>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ABDACE-FB18-47D3-A788-11263E84E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1236</Words>
  <Characters>7049</Characters>
  <Application>Microsoft Office Word</Application>
  <DocSecurity>0</DocSecurity>
  <Lines>58</Lines>
  <Paragraphs>16</Paragraphs>
  <ScaleCrop>false</ScaleCrop>
  <Company/>
  <LinksUpToDate>false</LinksUpToDate>
  <CharactersWithSpaces>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Zhe Fu</dc:creator>
  <cp:keywords>3GPP; OPPO; TDoc, CTPClassification=CTP_NT</cp:keywords>
  <cp:lastModifiedBy>OPPO-Zonda</cp:lastModifiedBy>
  <cp:revision>4</cp:revision>
  <dcterms:created xsi:type="dcterms:W3CDTF">2023-11-23T06:09:00Z</dcterms:created>
  <dcterms:modified xsi:type="dcterms:W3CDTF">2023-12-04T02:25:00Z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db50e0547068a0456dbf30d302467a99a01ee784c5f4d675237e41a59c81d2ab</vt:lpwstr>
  </property>
  <property fmtid="{D5CDD505-2E9C-101B-9397-08002B2CF9AE}" pid="3" name="KSOProductBuildVer">
    <vt:lpwstr>2052-10.1.0.6395</vt:lpwstr>
  </property>
  <property fmtid="{D5CDD505-2E9C-101B-9397-08002B2CF9AE}" pid="4" name="ICV">
    <vt:lpwstr>F87DF1612D4845B5A335694EC2638A2C_13</vt:lpwstr>
  </property>
</Properties>
</file>